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nodrošina komunikācijas un vizuālās identitātes prasības, kas noteiktas regulas 2021/1060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tai skaitā savā tīmekļvietnē un sociālajos tīklos ievieto informāciju par projekta īstenošanu un aktualizē to, tiklīdz pieejama jaunāka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33.7. apakšpunktā norādīta atsauce uz nesaistošiem dokumentiem (vadlīnijām), līdz ar to lūdzam svītrot atsauci uz vadlīnijām un minēto informāciju norādīt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prasības, kas noteiktas regulas 2021/1060 47. un 50. pantā, normatīvajos aktos, kas nosaka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26.06.2025.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26.06.2025.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Atzinumi_25-TA-1177.docx</dc:title>
</cp:coreProperties>
</file>

<file path=docProps/custom.xml><?xml version="1.0" encoding="utf-8"?>
<Properties xmlns="http://schemas.openxmlformats.org/officeDocument/2006/custom-properties" xmlns:vt="http://schemas.openxmlformats.org/officeDocument/2006/docPropsVTypes"/>
</file>