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2.2. reformu un investīciju virziena “Uzņēmumu digitālā transformācija un inovācijas” 2.2.1.3.i. investīcijas "Atbalsts jaunu produktu un pakalpojumu ieviešanai uzņēmējdarbībā"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izziņas 1. punktā izteiktajam iebildumam un EM sniegtajam skaidrojumam, atkārtoti lūdzam papildināt anotāciju ar vispārīgu risku izvērtējumu un interešu konflikta risku mazinošiem pasākumiem, kas nodrošina finanšu korekcijas riska mazināšanu nākotnē. Vēršam uzmanību, ka EK savā 17.11.2023. e-pasta vēstulē neformāli saskaņo kompetences centru konceptu, taču, izstrādājot MK noteikumu projektu, nepieciešams mazināt riskus un trūkumus, kas konstatēti Komisijas audita Nr.DAC514LV1050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Šo noteikumu ietvaros Kohēzijas politikas fondu vadības informācijas sistēmā (turpmāk - Vadības informācijas sistēma) tiek ievadīti dati par sekojošiem nacionālajiem rādītājiem, kas sasniedzami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8.punktu ar jauniem apakšpunktiem, lai nodrošinātu kopējo P&amp;A izdevumu apjoma apkopošanu publiskā un privātā finansējuma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P&amp;A izdevumu apjoms - publiskais finansējums,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P&amp;A izdevumu apjoms - privātās investīcijas,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noteikt, ka visi noteikumu projekta 8.punkta noteiktie rādītāji ir jāuzskaita RIS3 jomu griezumā.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Projektu iesnieguma vērtēšanu Aģentūra veic ne vēlāk kā divu kalendāro mēnešu laikā pēc projektu iesniegumu iesniegšanas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dzēst noteikumu projekta 21.punktu, ņemot vērā, ka projekta iesnieguma vērtēšanas termiņu nosaka Administratīvā procesa likums, attiecīgi lēmumu par administratīvā akta izdošanu pieņem viena mēneša laikā no iesnieguma saņemšanas dienas, nevis divu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izziņā sniegto skaidrojumu par 21. punkta interpretāciju - vērtēšanu veikt viena kalendārā mēneša laikā, papildus paredzot, ka precizējumu veikšanai, ja tādi radušies, paredzēts termiņš, kas nav ilgāks par vienu kalendāro mēnesi, nav atbilstošs, ņemot vērā, ka ir jāparedz laiks arī projektu iesniegumu precizēšanai, un to nosaka projektu iesniegumu vērtēšanas komisija, ņemot vērā nepieciešamo precizējumu apjomu un sarežģītību.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32.7. nav konstatējamas pazīmes, kas liecina par interešu konfliktu, korupciju, krāpšanu un dubultā finansējuma situāciju.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sanāksmē sniegto skaidrojumu, interešu konflikta pazīmju novēršana atlases laikā attiecas uz projektu iesniegumu vērtēšanas komisiju, nevis uz projekta iesniedzējiem, ņemot vērā, ka projekta iesniegumā nebūs pieejama informācija par sadarbības partneriem, pētniecības projektu veicējiem. Lūdzam dzēst noteikumu projekta 32.7.apakšpunktu, dubultā finansējuma riska vērtējumu paredzot noteikumu projekta 3.pielikumā atbilstošu vispārējo atbilstības kritēriju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Laugale-Volbaka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 ja projekta iesniedzējs darbojās kādā no neatbalstāmajām nozarēm saskaņā ar šo noteikumu </w:t>
            </w:r>
            <w:r w:rsidR="00000000" w:rsidRPr="00000000" w:rsidDel="00000000">
              <w:rPr>
                <w:rtl w:val="0"/>
              </w:rPr>
              <w:t xml:space="preserve">49. </w:t>
            </w:r>
            <w:r w:rsidR="00000000" w:rsidRPr="00000000" w:rsidDel="00000000">
              <w:rPr>
                <w:rtl w:val="0"/>
              </w:rPr>
              <w:t xml:space="preserve">punktu</w:t>
            </w:r>
            <w:r w:rsidR="00000000" w:rsidRPr="00000000" w:rsidDel="00000000">
              <w:rPr>
                <w:rtl w:val="0"/>
              </w:rPr>
              <w:t xml:space="preserve">, atbilstoši Komisijas Regulas Nr. 1407/2013 1. panta 2. punkta nosacījumiem, un šo noteikumu </w:t>
            </w:r>
            <w:r w:rsidR="00000000" w:rsidRPr="00000000" w:rsidDel="00000000">
              <w:rPr>
                <w:rtl w:val="0"/>
              </w:rPr>
              <w:t xml:space="preserve">52.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noteikumu punktu precizēt ar korektu atsauci uz šo noteikumu 51.punktu, nevis 52.punktu. Pēc analoģijas lūdzam precizēt arī šo noteikumu 52.2.punktu.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Nozares ministrijai ir tiesības pieprasīt un saņemt iestādes funkciju izpildei nepieciešamo informāciju no Valsts ieņēmumu dienesta, pieprasot piekļuvi Valsts ieņēmumu dienesta datu bāzē esošajiem datiem, lai nodrošinātu šo noteikumu </w:t>
            </w:r>
            <w:r w:rsidR="00000000" w:rsidRPr="00000000" w:rsidDel="00000000">
              <w:rPr>
                <w:rtl w:val="0"/>
              </w:rPr>
              <w:t xml:space="preserve">77.1.</w:t>
            </w:r>
            <w:r w:rsidR="00000000" w:rsidRPr="00000000" w:rsidDel="00000000">
              <w:rPr>
                <w:rtl w:val="0"/>
              </w:rPr>
              <w:t xml:space="preserve">, </w:t>
            </w:r>
            <w:r w:rsidR="00000000" w:rsidRPr="00000000" w:rsidDel="00000000">
              <w:rPr>
                <w:rtl w:val="0"/>
              </w:rPr>
              <w:t xml:space="preserve">77.3.</w:t>
            </w:r>
            <w:r w:rsidR="00000000" w:rsidRPr="00000000" w:rsidDel="00000000">
              <w:rPr>
                <w:rtl w:val="0"/>
              </w:rPr>
              <w:t xml:space="preserve"> un </w:t>
            </w:r>
            <w:r w:rsidR="00000000" w:rsidRPr="00000000" w:rsidDel="00000000">
              <w:rPr>
                <w:rtl w:val="0"/>
              </w:rPr>
              <w:t xml:space="preserve">77.8. </w:t>
            </w:r>
            <w:r w:rsidR="00000000" w:rsidRPr="00000000" w:rsidDel="00000000">
              <w:rPr>
                <w:rtl w:val="0"/>
              </w:rPr>
              <w:t xml:space="preserve">apakšpunktos</w:t>
            </w:r>
            <w:r w:rsidR="00000000" w:rsidRPr="00000000" w:rsidDel="00000000">
              <w:rPr>
                <w:rtl w:val="0"/>
              </w:rPr>
              <w:t xml:space="preserve"> minēto pienākumu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noteikumu projekta 78.punktu un turpināt saskaņošanas procesu par datu pieejamību pēc noteikumu projekta apstiprināšanas MK. Pēc iesaistīto pušu pozitīva atzinuma Ekonomikas ministrija varēs veikt šo noteikumu grozījumus, nodrošinot regulējumu iestādes funkciju izpildei nepieciešamās informācijas pieejamībai. Ņemot vērā augstāk minēto, lūdzam atbilstoši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norāda, ka šobrīd ne noteikumu projekta ne no anotācijas nevar izsecināt, kādus datus un kādam mērķim ir nepieciešams saņem šajā punkta ietvaros. Datu apjoms skar fizisko personu pārāk plašu informāciju un datu apstrādi, kura tiešā veidā nav sasaistītā ar investīcijas īstenošanu, piemēram informācija par radniecību, kura skar tai skaitā par mazāk-aizsargājamām personām, adresi u.t.t. Pārzinim, apstrādājot fizisku personas datus (turpmāk – dati) ir jānodrošina, ka tie tiek apstrādāti (tostarp, izsniegti vai nodoti) likumīgi, godprātīgi un datu subjektam pārredzamā veidā; dati tiek apstrādāti konkrētos, skaidros un leģitīmos nolūkos, un to turpmāku apstrādi neveic ar minētajiem nolūkiem nesavietojamā veidā; dati ir adekvāti, atbilstīgi un ietver tikai to, kas nepieciešams to apstrādes nolūkos. (Datu regulas 5. panta 1. punkta “a”, “b”, “c”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ir likumīga tikai tādā apmērā un tikai tad, ja piemērojams vismaz viens no Datu regulas 6. panta 1. punktā uzskaitītajiem pamatojumiem, savukārt, lai īstenotu datu apstrādi, izpildot uz pārzini attiecināmu juridisku pienākumu – kā tas ir plānots šajā gadījumā – datu apstrādes nolūkam (mērķim) jābūt noteiktam tiesību aktos, kas piemērojami pārzinim. Vienlaikus datu apstrāde nevar tikt pamatota ar šķietamu nepieciešamību vai nepamatota vispār; datu subjektam vajadzētu gūt pārliecību ka normatīvajos aktos noteiktais datu apjoms ir samērīgi vērtēts un atbilst nolūka (mērķa) sasniegšanai nepieciešamajam, kā arī norādīts, ka šos datus neapstrādājot vispār nolūks (mērķis) nav sasniedzams, vai arī tas ir sasniedzams ar mazāku datu apjomu; tādējādi mazāk aizskarot fiziskas personas tiesības uz privātumu.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77.1., 77.3. un 77.8. apakšpunktos nav saskatāma nepieciešamība datu apstrādei, tādēļ lūdzam sniegt  samērīguma vērtējumu (atspoguļojot to anotācijā), kā arī izskatāmas iespējas noteikto nozares ministrijas uzdevumu sasniegšanai apstrādāt mazāku datu apjomu, precizējot noteikumu projekta redakciju, vai arī neapstrādāt datus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78. punkts paredz nodrošināt nekontrolētu piekļuvi liela apjoma fizisko personu datiem, tostarp mazāk aizsargātu personu datiem, kas var ietvert arī īpašu kategoriju datus. Izsniedzamo datu apjomu VID saņem un turpmāk apstrādā kā pārzinis normatīvajos aktos noteiktiem nolūkiem (mērķiem), kuru savietojamība ar projektā norādīto datu apstrādes nolūku (mērķi) nav vērtēta, tostarp ievērojot, ka VID rīcībā nav skaidrojuma par to, kā konkrētais datu apjoms nodrošina attiecīgā mērķa sasniegšanu (vienlaikus nepārkāpjot Datu regulas 5. pantā noteiktos datu apstrādes principus).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79.7. izskatīt noslēguma progresa pārskatus un pārliecināties par finansējuma ieguldījumu un rādītāju sasniegšanu.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79.7. apakšpunktu atbilstoši izteiktajam iebildumam par noteikumu projekta 94. punktu, ievērojot to, ka aģentūrai nav paredzētas funkcijas veikt projektu uzraudzību pēc 2026.gada 31.augusta, kas ir investīciju ieviešanas beigu datums.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84.1.9. ievērot interešu konflikta novēršanas principus saskaņā ar Komisijas Regulas Nr. 2018/1046 61. pantu, caurspīdīguma un vienlīdzības principus, vienlaikus novēršot korupciju, krāpšanu un dubulto finansējumu, ja nepieciešams, veicot atbilstošus korekcijas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turpinās diskusijas ar kompetentajām iestādēm par amatpersonas statusa piemērošanu daudzpakāpju projektos, lai nodrošinātu labāko risinājumu interešu konflikta risku novēršanai. Pēc panāktās vienošanās informēsim par turpmāko rīcību.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Projekta īstenošanas laikā finansējuma saņēmējs saņem avansa un noslēguma maksājumu. Pēc līguma par projekta īstenošanu noslēgšanas starp finansējuma saņēmēju un Aģentūru, finansējuma saņēmējs pieprasa Aģentūrai pirmo avansa maksājumu, kas nepārsniedz 40 procentus no kopējā projekta publiskā finansējuma apmēra. Ja finansējuma saņēmējs nav ieguldījis pirmo avansa maksājumu vismaz 80 procentu apmērā un ir sasniegts projekta ietvaros kopējais plānotais rādītājs, tad finansējuma saņēmējs īsteno projektu līdz pirmais avansa maksājums ieguldīts vismaz 80 procentu apmērā. Ja nav sasniegts kopējais projekta ietvaros plānotais rādītājs, tad finansējuma saņēmējs atmaksā Aģentūrai projekta ietvaros piešķirto pirmo avansa maksājumu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nosacījuma, kas paredz, ka pirmo avansa maksājumu finansējuma saņēmējs pieprasa pēc pirmo līguma grozījumu, ar kuriem projekta īstenošanā tiek iekļauti sadarbības partneri, apstiprināšanas, iekļaušanu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Finansējuma saņēmējs noslēguma maksājumu saņem, ja pirmais avansa maksājums tiek ieguldīts 100 procentu apmērā un otrais avansa maksājums ieguldīts 80 procentu apmērā, nodrošinot kopējā rādītāja sasniegšanu. Aģentūra noslēguma maksājumu izmaksā līdz 2026. gada 31. augustam. Pēc avansu un noslēguma maksājuma saņemšanas finansējuma saņēmējs iesniedz progresa pārskatus, kas skaidro finansējuma izlietojumu.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aģentūrai nav paredzētas funkcijas veikt projektu uzraudzību pēc 2026.gada 31.augusta, kas ir investīciju ieviešanas beigu datums. Ja Atbildīgā iestāde plāno projektu uzraudzību pēc noslēguma ziņojuma iesniegšanas EK, rosinām izvērtēt nepieciešamību papildināt noteikumu projektu, paredzot, ka uzraudzību pēc minētā ziņojuma iesniegšanas EK nodrošinās nozares ministrija, ievērojot beigu termiņu CFLA funkcijām AF projektu uzraudzībā, vai lūdzam investīcijas ietvaros paredzēt finansējumu aģentūras funkciju nodrošināšanai pēc 2026.gada 31.augusta.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darbības pēc 2026.gada 31.augusta, nosakot EM uzdevumu ziņot par to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Ja investīcijas ietvaros ir sasniegti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minētie rādītāji, bet investīcijai atvēlētais finansējums līdz 2027.gada 31.decembrim nav ieguldīts pilnā apmērā, nozares ministrija lemj par finansējuma pārvirzīšanu Eiropas Savienības kohēzijas politikas programma 2021.–2027.gadam plānošanas perioda nozares ministrijas atbalsta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lēmumu par atbalsta pasākumu īstenošanu, tai skaitā finansējuma piešķiršanu, pieņem Ministru kabinets, lūdzam noteikt, ka lēmums par finansējuma pārvirzīšanu Eiropas Savienības kohēzijas politikas programma 2021.–2027.gadam plānošanas perioda atbalsta pasākumiem jāpieņem Ministru kabinetam, nevis nozares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Ja Aģentūra progresa pārskata sākotnējā pārbaudē konstatē interešu konfliktu, tad Aģentūra var veikt atkārtotu finansējuma saņēmēja pieejamo dokumentu interešu konflikta pārbaudi un, ja Aģentūra konstatē, ka noticis interešu konflikts, Aģentūra veic finanšu korekciju, pieprasot finansējuma saņēmējam atmaksāt Atveseļošanas fonda finansējumu par konkrēto pētniecības projektu no brīža, kad konstatēta interešu konflikta iestāšanās.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teikuma daļu: "no brīža, kad konstatēta interešu konflikta iestāšanās", jo finanšu korekcija piemērojama pārkāpuma skartajiem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Aģentūra progresa pārskata sākotnējā pārbaudē konstatē interešu konfliktu, tad Aģentūra var veikt atkārtotu finansējuma saņēmēja pieejamo dokumentu interešu konflikta pārbaudi un, ja Aģentūra konstatē, ka noticis interešu konflikts, Aģentūra veic finanšu korekciju, pieprasot finansējuma saņēmējam atmaksāt Atveseļošanas fonda finansējumu par konkrēto pētniecības projektu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Pētniecības un zināšanu izplatīšanas organizācijas pārstāvis var tikt iesaistīts pētniecības projektu vērtēšanas komisijā un var vērtēt savas pārstāvošās iestādes cita departamenta iesniegto pētniecības projektu, ievērojot interešu konflikta neesību.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121.punkta neiekļaušanu, ņemot vērā EK audita ietvaros pausto viedokli, ka interešu konflikta neesamības pieeja nav attiecināma uz iestādes atsevišķiem departamentiem (tas netiek uzskatīts par situāciju, kad netiek konstatēts interešu konflikts).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Pucēna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tekstā: "Ņemot vērā MK noteikumu 119.punktā noteikto, Aģentūra veic finansējuma saņēmēja progresa pārskatos pieejamo dokumentu pārbaudes un konstatēta interešu konflikta gadījumā veic darbības atbilstoši normatīvajos aktos par administratīvo procesu noteiktajā kārtībā" dzēst daļu: "par administratīvo procesu noteiktajā kārtībā", jo administratīvais process nenosaka detalizētu kārtību konkrētai situācijai, turklāt aģentūrai ar finansējuma saņēmēju ir līgumattiecības.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22-TA-3597</w:t>
    </w:r>
    <w:r>
      <w:br/>
    </w:r>
    <w:r w:rsidR="00000000" w:rsidRPr="00000000" w:rsidDel="00000000">
      <w:rPr>
        <w:rtl w:val="0"/>
      </w:rPr>
      <w:t xml:space="preserve">Izdrukāts 14.12.2023. 09.13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22-TA-3597</w:t>
    </w:r>
    <w:r>
      <w:br/>
    </w:r>
    <w:r w:rsidR="00000000" w:rsidRPr="00000000" w:rsidDel="00000000">
      <w:rPr>
        <w:rtl w:val="0"/>
      </w:rPr>
      <w:t xml:space="preserve">Izdrukāts 14.12.2023. 09.13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Atzinumi_22-TA-3597.docx</dc:title>
</cp:coreProperties>
</file>

<file path=docProps/custom.xml><?xml version="1.0" encoding="utf-8"?>
<Properties xmlns="http://schemas.openxmlformats.org/officeDocument/2006/custom-properties" xmlns:vt="http://schemas.openxmlformats.org/officeDocument/2006/docPropsVTypes"/>
</file>