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jau iepriekš ir norādījusi, ka ar likumprojektu tiek palielināta pašvaldību atbildība gaisa aizsardzības nodrošināšanā un jauno pienākumu, t.sk. gaisa piesārņojuma izkliedes modelēšanas ieviešana, ir finansiāli ietilpīgi pasākumi. Piemēram, Ventspilī gaisa piesārņojuma modelēšana teritorijas plānojuma ietvaros 2018.gadā izmaksājusi ap 30 000 EUR. Savukārt, lai pamatotu saistošo noteikumu izdošanu un stingrāku prasību piemērošanu gaisa kvalitātes nodrošināšanai vai traucējošo smaku ierobežošanai, nepieciešami akreditētu laboratoriju mērījumi vai piesārņojuma izkliedes modelēšanas veikšana, iespējams, arī ekspertu slēdzieni. Iziņas 165. punktā uz LPS 06.09.2023. priekšlikumu VARAM ir norādījusi, ka “ministrija izprot, ka papildus gaisa kvalitātes modelēšana prasa zināmus resursus”, taču  anotācijas 3.sadaļā “Tiesību akta projekta ietekme uz valsts budžetu un pašvaldību budžetiem” nav atspoguļots izmaksu aprēķins pašvaldību papildus funkciju īstenošanai, vēl jo vairāk, ir norādīts, ka nav ietekme uz pašvaldību budžetiem. Lūdzu anotācijā norādīt nepieciešamo papildus līdzekļu apjomu un iespējamos finanšu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