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sasniedzami šādi atskaites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izstrādes mērķi ir atļaut projekta iesniegumos norādīt citus finanšu avotus (ne tikai Atveseļošanas un noturības mehānisma finansējumu) projekta sadārdzinājuma segšanai, novērst juridiskās nepilnības ēku piederības jautājumos un precizēt atbalstāmo sociālo ēku sarakstu jeb Investīciju projektu īstenošanas vietas. Ņemot vērā minēto sadarbības iestāde nenoslēdza līgumus ar potenciālajiem projektu īstenotājiem, bet apstiprināja projektu iesniegumu ar nosacījumiem. Līdz ar to potenciālie projektu īstenotāji ir noslēguši iepirkumu procedūru, bet nav noslēguši līgumu par būvniecības pakalpojumu sniegšanu Ministru kabineta noteikumu Nr.582 iekļautajās sociālajās ēkās. Līgums par pakalpojumu (būvniecības) sniegšanu tiks noslēgts pēc līguma par projekta īstenošanu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potenciālie projektu īstenotāji nevar nodrošināt  Ministru kabineta noteikumu Nr.582  7.2. punktā noteikto, ka līgumu slēgšanas tiesību piešķiršanai, lai nodrošinātu piekļuvi publiskām telpām valsts un pašvaldību ēkās, ir jābūt izpildītai līdz 2022. gada 31. decembrim. Līdz ar to ir nepieciešams arī šajā Ministru kabineta noteikumu projektā risināt jautājumu, kas skar viena no atskaites punkta sasniegšanas periodiem, t.i., pagarināt atskaites punkta, kas noteikts Ministru kabineta noteikumu Nr.582 7.2. punktā, sasniegšanas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Ministru kabineta noteikumu Nr.582 7.2.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2022. gada 31. decembrim, vai divu mēnešu laikā no līguma par projekta īstenošanu noslēgšanas, bet ne vēlāk kā līdz 2023. gada 30.jūnijam – līgumu slēgšanas tiesību piešķiršana, lai nodrošinātu piekļuvi publiskām telpām valsts un pašvaldību ēkās;”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finansējuma saņēmējs sagatavo pieprasījumu avansa maksājumam, kurā pamato avansa maksājuma nepieciešamību un apmēru. Avansa maksājumu var pieprasīt veikt vairākos maksājumos un avansa maksājuma daļas saņemšana ir pieļaujama pirms iepriekšējās avansa maksājuma daļas izlietošanas. Avansa maksājuma kopsumma šo 13.1. un 13.2. apakšpunktā minēto finansējuma saņēmēju gadījumā nevar pārsniegt 30 procentus no projekta Atveseļošanas fonda finansējuma apmēra, savukārt šo noteikumu 13.3. un 13.4. apakšpunktā minēto finansējuma saņēmēju gadījumā – nevar pārsniegt 30 procentus no projekta kopējā attiecināmā finansējuma. Avansa maksājums vai avansa maksājuma daļa ir jāapgūst sešu mēnešu laikā no tā saņemšanas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6.punktu dažādiem finansējuma saņēmējiem tiek plānots dažāds avansa maksājuma apmērs, t.i., pašvaldību un kapitālsabiedrību, kas veic pašvaldības funkciju, īstenotajos projektos tā apmērs nevar pārsniegt 30% no projekta Atveseļošanas fonda finansējuma apmēra, savukārt valsts kapitālsabiedrībām – nevar pārsniegt 30% no projekta kopējā attiecināmā finansējuma. Ministru kabineta noteikumu projekta anotācijā nav sniegts skaidrojums šādai pieejai. Mūsuprāt šāda diversificēta avansa maksājuma kārtība nav korekta, jo esošajos nestabilajos ekonomiskajos apstākļos, kad preču un pakalpojumu cenas būvniecības nozarē strauji paaugstinās, ir būtiski nodrošināt finanšu resursu pieejamību arī pašvaldībām un tās iestādēm. Nodrošinot pašvaldībām iespēju noteikt avansa maksājumu kopsummu 30% apmērā no projekta kopējā attiecināmā finansējuma (kā tas ir jau paredzēts 13.3. un 13.4. apakšpunktā minēto finansējuma saņēmēju gadījumā), projekta avansa maksājumu kopsumma būtiski pieaugtu un nodrošinātu stabilāku projekta finanšu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nodrošināt vienotu pieeju visiem projekta iesniedzējiem un noteikt projekta avansa maksājuma kopsummu līdz 30 procentiem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izteikt 23.1.1.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sagatavo pieprasījumu avansa maksājumam, kurā pamato avansa maksājuma nepieciešamību un apmēru. Avansa maksājumu var pieprasīt veikt vairākos maksājumos un avansa maksājuma daļas saņemšana ir pieļaujama pirms iepriekšējās avansa maksājuma daļas izlietošanas. Avansa maksājuma kopsumma šo noteikumu 13. punktā minēto finansējuma saņēmēju gadījumā nevar pārsniegt 30 procentus no projekta kopējā attiecināmā finansējuma. Avansa maksājums vai avansa maksājuma daļa ir jāapgūst sešu mēnešu laikā no tā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saraksts, kuras atbilst atbalsta saņemšanas nosacījumiem vides pieejamības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 noteikumu pielikumā 52.punktā 10.sadaļā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Sociālo pakalpojumu sniedzēju reģistrā -  “Ir - 1086”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MK noteikumu pielikumā 52.punktā 10.sadaļā noteikto – Nr. Sociālo pakalpojumu sniedzēju reģistrā - “Ir - 30”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saraksts, kuras atbilst atbalsta saņemšanas nosacījumiem vides pieejamības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 noteikumu pielikumā 52. punkta 5. sadaļā ir noteikts - Labklājības nozares valsts pakalpojuma/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sociālais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“Rīgas pilsētas “Rūpju bērns””, grupu dzīvoklis “Cerību dore”.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MK noteikumu pielikumā 52.punktā 5.sadaļā noteiktā Labklājības nozares valsts pakalpojuma/pašvaldības sociālais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'Rīgas pašvaldības Bērnu un jauniešu centra struktūrvienība "Krīzes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25.01.2023.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25.01.2023.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