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labuma guvējs – subjekts (finansējuma saņēmējs vai sadarbības partneris), kurš gūst intelektuālā īpašuma tiesības un ekonomiskās priekšrocības, kas izriet no subjekta pētniecības projekta pieteikuma ietvaros veiktās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2.8.apakšpunktu, ņemot vērā, ka atbilstoši Eiropas Savienības fondu regulējumam finansējuma saņēmējs un labuma guvējs ir dažādi subjekti. Attiecīgi lūdzam pārskatīt un precizēt arī citas noteikumu projekta normas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minētais iznākuma rādītājs ir sasniegts, kad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minētie uzņēmumi, kas pārstāv katru no četriem atbalstāmajiem reģioniem ir sadarbojušies ar zinātniskajām institūcijām pētniecības projekta pieteikumu tēmu un vajadzību definēšanā.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6.1.1.SAM rādītāju metodoloģijas aprakstā norādītajam, rādītājs ir uzskatāms par sasniegtu, kad noslēgts </w:t>
            </w:r>
            <w:r w:rsidR="00000000" w:rsidRPr="00000000" w:rsidDel="00000000">
              <w:rPr>
                <w:u w:val="single"/>
                <w:rtl w:val="0"/>
              </w:rPr>
              <w:t xml:space="preserve">sadarbības līgums</w:t>
            </w:r>
            <w:r w:rsidR="00000000" w:rsidRPr="00000000" w:rsidDel="00000000">
              <w:rPr>
                <w:rtl w:val="0"/>
              </w:rPr>
              <w:t xml:space="preserve"> ar saimnieciskās darbības veicēju </w:t>
            </w:r>
            <w:r w:rsidR="00000000" w:rsidRPr="00000000" w:rsidDel="00000000">
              <w:rPr>
                <w:u w:val="single"/>
                <w:rtl w:val="0"/>
              </w:rPr>
              <w:t xml:space="preserve">par sadarbību pētniecības projekta īstenošanā</w:t>
            </w:r>
            <w:r w:rsidR="00000000" w:rsidRPr="00000000" w:rsidDel="00000000">
              <w:rPr>
                <w:rtl w:val="0"/>
              </w:rPr>
              <w:t xml:space="preserve">. Tā kā MKN projektā komersanti nav plānoti sadarbības partneru lomā, lūdzu precizēt noteikumu projektu, vai skaidrot Anotācijā, kad rādītājs ir ieskaitāms kā sasniegts jeb kā finansējuma saņēmējs pierāda/apliecina "ir sadarbojušies" faktu.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projekta iesniegumam pievieno apliecinājumu par sadarbību, kā arī trīs mēnešu laikā pēc tam, kad noslēgta vienošanās par projekta īstenošanu, noslēdz sadarbības līgumus ar 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​​​​​​​minētajiem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21. punkta redakciju, skaidri norādot, ka projekta iesniedzējs projekta iesniegumam pievieno sadarbības partnera apliecinājumu par gatavību piedalīties projekta īstenošanā. Papildus lūdzam izvērtēt un ja nepieciešams precizēt noteikumus, ņemot vērā šobrīd uz AK virzītājā projektu iesniegumu vērtēšanas kritēriju piemērošanas metodikā sniegto kritērija Nr. 1.4 . atbilstības skaidrojumu ,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sadarbības partnera atbilstību pasākuma MK noteikumu par SAMP īstenošanu nosacījumiem vērtē, ņemot vērā sadarbības līgumā norādīto projekta īstenošanas un rezultātu izmantošanas kārtību, kas ietver MK noteikumu par SAMP īstenošanu 22. punktā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projekta iesniegumā ir definētas projekta sadarbības partnera plānotās darbības projekta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dzīves cikla laikā sagaidāms, ka finansējuma saņēmējs un sadarbības partneri nodrošinās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 rādītāju sasniegšanu un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pētniecības projekta pieteikumu īstenošanu un pētījuma specifikai atbilstošu projekta rezultātu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noteikumu 2.punktu, iekļaujot arī dzīves cikla definīciju, ja iespējams, norādot konkrētu projekta dzīves cikla garumu.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piecus pētniecības projekta pieteikumus, katrā no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minētajiem tematiskajiem pētniecības uzdevumiem iesniedzot vienu pētniecības projekta pieteikumu;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pasākuma projekta dizainu, pēc iespējas nodrošinot projekta īstenošanas informāciju KP VIS projekta iesnieguma veidlapas ietvarā. Aicinu izvērtēt iespēju MKN projektā noteikto tematisko uzdevumu izpildi plānot kā projekta īstenošanas darbības, nevis apakšpieteikumus, kas pievienojami kā projekta iesnieguma 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zinātniskā institūcija atbilstoši zinātnisko darbību reglamentējošiem normatīvajiem aktiem atbildīgajā iestādē (Zinātnisko institūciju reģistrā) ir iesniegusi publiskos pārskatus par zinātnisko darbību par pēdējiem trim noslēgtajiem pārskata gadiem. Ja zinātniskā institūcija ir dibināta mazāk nekā pirms trim gadiem, ir iesniegti publiskie pārskati par noslēgtajiem pārskata gadiem atbilstoši tās reģistrācijai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30.4.apakšpunktā ietvertās prasības nepieciešamību. Ja prasība ir iekļauta, lai apliecinātu ZI statusu, tad lūdzam svītrot, ņemot vērā, ka mums ir svarīgi tikai pārliecināties, ka organizācija ir iekļauta reģistrā, savukārt dokumentus, kas ir jāiesniedz reģistram reglamentē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projekta vadības personāla atlīdzības izmaksas, nepārsniedzot 7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tiešajās attiecināmajās personāla izmaksās var iekļaut to darbinieku atlīdzības izmaksas, kuri noteiktā laika posmā ne mazāk kā 30% no normālā darba laika katrā mēnesī veic pienākumus, kas saistīti ar projektu, un tas ir pamatots ar atbilstošiem izmaksas pamatojošiem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atlīdzības izmaksas tiek veiktas kā faktiskās izmaksas, lūdzam noteikumu projekta 34.1.apakšpunktu papildināt ar nosacījumu, ka attiecināma ir atlīdzība tikai, ja vismaz 30% no normālā darba laika darbinieks strādā ar projektu. Papildus lūdzam iekļaut arī nosacījumu, ka nav attiecināmas virsstundas.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projekta vadības personāla izmaksas, nepārsniedzot 7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pētniecībā iesaistītā zinātniskā darbinieka ārvalstu un iekšzemes komandējumu un darba braucienu izmaksas, kas saistītas ar projekta ietvaros īstenojamo pētniecību, tai skaitā ar sasniegto rezultātu publiskošanu saskaņā ar normatīvajiem aktiem par kārtību, kādā atlīdzināmi ar komandējumiem saistītie izdevumi, ja zinātniskais darbinieks ir nodarbināts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Savienības kohēzijas politikas 2021.-2027.gada plānošanas perioda attiecināmo izmaksu noteikšanas nosacījumiem, ārvalstu komandējumu izmaksas ir attiecināmas tikai projekta īstenošanas personālam un projekta vadītājam. Līdz ar to lūdzam attiecīgi precizēt noteikumu projekta 35.2.apakšpunktu.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ar mācību, darba grupu, semināru, konferenču, pieredzes apmaiņas, ideju konkursu un citu pasākumu mērķa grupas un sabiedrības iesaistīšanai un informēšanai organizēšanu un īstenošanu saistītās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precīzi definēt, kādas saistītās izmaksas ir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35.1. </w:t>
            </w:r>
            <w:r w:rsidR="00000000" w:rsidRPr="00000000" w:rsidDel="00000000">
              <w:rPr>
                <w:rtl w:val="0"/>
              </w:rPr>
              <w:t xml:space="preserve">apakšpunktā</w:t>
            </w:r>
            <w:r w:rsidR="00000000" w:rsidRPr="00000000" w:rsidDel="00000000">
              <w:rPr>
                <w:rtl w:val="0"/>
              </w:rPr>
              <w:t xml:space="preserve"> minētajām tiešajām attiecināmajām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noteikumu projekta 36.punktā noteiktā 15 % netiešo izmaksu vienotā likme būtu aprēķināma arī no noteikumu projekta 34.1. apakšpunktā minētajām izmaksām. Vēršam uzmanību, ka 15% netiešo izmaksu likme ir piemērojama projekta (nevis apakšprojekta)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Pievienotās vērtības nodoklis, kas tiešā veidā saistīts ar projektu, uzskatāms par attiecināmām izmaksām saskaņā ar regulas Nr. 2021/1060 64. panta 1. 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"ii" punkta izriet, ka projektam, kura kopējās izmaksas ir vismaz 5 000 000 euro (ieskaitot pievienotās vērtības nodokli), pievienotās vērtības nodoklis ir attiecināms gadījumos, kad tas nav atgūstams saskaņā ar pievienotās vērtības nodokli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37.punktu ar vārdiem “ja tas nav atgūstams saskaņā ar attiecīgās valsts tiesību aktiem pievienotās vērtības nodokļa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Pievienotās vērtības nodoklis, kas tiešā veidā saistīts ar projektu, uzskatāms par attiecināmām izmaksām saskaņā ar regulas Nr. 2021/1060 64. panta 1. punkta "c" apakšpunktā ietvertajiem nosacījumiem, </w:t>
            </w:r>
            <w:r w:rsidR="00000000" w:rsidRPr="00000000" w:rsidDel="00000000">
              <w:rPr>
                <w:b w:val="1"/>
                <w:rtl w:val="0"/>
              </w:rPr>
              <w:t xml:space="preserve">ja tas nav atgūstams saskaņā ar attiecīgās valsts tiesību aktiem pievienotās vērības nodokļa jomā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Lai nodrošinātu neatkarīgu projekta īstenošanu un novērstu iespējamo interešu konfliktu, katra projekta iesnieguma izvērtēšanā, vidusposma un gala rezultātu zinātniskās kvalitātes izvērtēšanā Latvijas Zinātnes padome iesaista ne mazāk kā divus ārvalstu ekspertus. Iesaistot ārvalstu ekspertus,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ietvarā tiek plānots 1 projekta iesniegums ar apakšpieteikumiem, atbilstoši MKN projekta 13.punktā noteiktajiem tematiskajiem uzdevumiem. Lūdzu precizēt apakšpunktu, skaidri norādot, vai ekspertīze tiks plānota katram apakšpieteikumam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Sadarbības iestāde trīs mēnešu laikā no projekta iesnieguma iesniegšanas datuma pieņem lēmumu par projekta iesniegumu apstiprināšanu, apstiprināšanu ar nosacījumu vai noraidīšanu. Ja objektīvu iemeslu dēļ šo termiņu nav iespējams ievērot, to var pagarināt uz laiku, ne ilgāku par sešiem mēnešiem no projekta iesnieguma iesniegšanas datuma, par to paziņot projekta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46.punktu, ņemot vērā, ka Eiropas Savienības fondu 2021.—2027. gada plānošanas perioda vadības likuma 28. panta pirmā daļa nosaka lēmuma pieņemšanas termiņu, ka sadarbības iestāde lēmumu par projekta iesnieguma apstiprināšanu, apstiprināšanu ar nosacījumu vai noraidīšanu pieņem triju mēnešu laikā pēc projekta iesnieguma iesniegšanas beigu datuma, un atbilstoši Ministru kabineta 2009.gada 3.februāra noteikumu Nr.108 "Normatīvo aktu projektu sagatavošanas noteikumi" 3.2.apakšpunktam normatīvā akta projektā neietver normas, kas dublē augstāka vai tāda paša spēka normatīvā akta tiesību normās ietverto normatīvo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ar saimniecisku darbību nesaistīta projekta īstenošanas rezultātā tiek gūti ieņēmumi no projekta ietvaros iegūtās zinātības un tehnoloģiju pārneses un projekts atbilst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61. panta 7. punkta "b" apakšpunkta un 65. panta 8. punkta nosacījumiem, labuma guvējs veic projekta izmaksu ieguvumu vai izmaksu efektivitātes analīzi atbilstoši normatīvā akta, kas nosaka kārtību, kādā Eiropas Savienības fondu vadībā iesaistītās institūcijas nodrošina šo fondu ieviešanu 2021.–2027.gada plānošanas periodā 1.pielikuma sadaļā “Projekta izmaksu efektivitātes novērtēšana”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šo punktu un/vai anotāciju, skaidri norādot, kādā periodā minētais aprēķins ir veicams (vai dzīves ciklā?) un kuru tieši analīzi kādos gadījumos ir jāveic, jo formulējums paredz divu veidu analīzi: </w:t>
            </w:r>
            <w:r w:rsidR="00000000" w:rsidRPr="00000000" w:rsidDel="00000000">
              <w:rPr>
                <w:i w:val="1"/>
                <w:rtl w:val="0"/>
              </w:rPr>
              <w:t xml:space="preserve">1) projekta izmaksu ieguvumu vai 2) izmaksu efektivitātes analīzi atbilstoši normatīvā akta, kas nosaka kārtību, kādā Eiropas Savienības fondu vadībā iesaistītās institūcijas nodrošina šo fondu ieviešanu 2021.–2027.gada plānošanas periodā 1.pielikuma sadaļā “Projekta izmaksu efektivitātes novērtēšana” noteiktajam. </w:t>
            </w:r>
            <w:r w:rsidR="00000000" w:rsidRPr="00000000" w:rsidDel="00000000">
              <w:rPr>
                <w:rtl w:val="0"/>
              </w:rPr>
              <w:t xml:space="preserve">Lūdzam arī noteikt, ka finansējuma saņēmējs pats rīkojas un ziņo sadarbības iestādei par to, ka uz viņu attiecas MK noteikumu 49.punktā noteiktais gadījums.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sadarbības iestāde izstrādā un ar Izglītības un zinātnes ministriju saskaņo izvērtējumu standartformas, vidusposma izvērtējumā, paredzot to ne vēlāk, kā 12 mēnešus pirms projekta īstenošanas termiņa beigām, ietverot prasību ekspertam izvērtēt, kā projekta izpildes progress saskan ar plānoto, un, ja nepieciešams, sniegt ierosinājumus darba plāna koriģēšanai, bet gala rezultātu izvērtējumā – izvērtēt un pamatot, cik lielā mērā pētniecības apakšprojektos plānotie rezultāti ir sasniegti (novērtējumu izsakot arī procentos);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īstenošanas ilgums ir ~ 5 gadi, lūdzam precizēt vidusposma zinātniskās kvalitātes ekspertīzes termiņu. Ņemot vērā analoģiju ar praktiskās pētniecības projektiem, kur vidusposma izvērtēšana paredzēta ne vēlāk kā 2/3 no projekta īstenošanas laika, aicinām arī šajā pasākumā plānot, ka vidusposma ekspertīze ir ne vēlāk kā 2/3 no kopējā projekta īstenošanas 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Projektu īsteno no vienošanās par projekta īstenošanu noslēgšanas datuma, bet ne ilgāk kā līdz 2029. gada 30.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saskaņot ar MKN projekta 38.apakšpunktu, kur noteikts, ka darbības ir atbalstāmas un izmaksas ir attiecināmas, ja tās veiktas pēc projekta iesnieguma iesniegšanas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"Tiesību akta projekta ietekme uz valsts budžetu un pašvaldību budžetiem" 6.punktā sniegtā informācija par 6.1.1.2. pasākuma "Pētniecības attīstība dabas resursu ilgtspējīgai izmantošanai vides un klimata mērķu kontekstā" īstenošanai plānotā finansējuma sadalījumu pa gadiem un finansējuma avotiem neveido noteikumu projekta 15.punktā plānoto finansējuma apmēru (novirze finansējumam kopā +1 euro, Taisnīgas pārkārtošanās fonda finansējumam -3 euro, valsts budžeta līdzfinansējumam +4 euro). Lūdzam novērst šo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(Elīna Remeiķe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1.punktu ar jaunu apakšpunktu par vienkāršoto izmaksu piemērošanas nosacījumiem un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zinātniskās institūcijas - Latvijas Republikas Zinātnisko institūciju reģistrā reģistrēts zinātniskais institūts (publiska aģentūra, atvasināta publiska persona, valsts augstskolas struktūrvienība, privāto tiesību juridiskā persona vai tās struktūrvienība) vai augstskola.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2.17.apakšpunktā noteikto terminu un nepieciešamības gadījumā svītrot 2.17.apakšpunktu vai precizēt tā redakciju. Vēršam uzmanību, ka Zinātniskās darbības likuma 1.panta pirmās daļas 7.punktā ir noteikta zinātniskās institūcijas definīcija un nav nepieciešams to dublēt šajā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w:t>
            </w:r>
            <w:r w:rsidR="00000000" w:rsidRPr="00000000" w:rsidDel="00000000">
              <w:rPr>
                <w:rtl w:val="0"/>
              </w:rPr>
              <w:t xml:space="preserve">10.2.2. </w:t>
            </w:r>
            <w:r w:rsidR="00000000" w:rsidRPr="00000000" w:rsidDel="00000000">
              <w:rPr>
                <w:rtl w:val="0"/>
              </w:rPr>
              <w:t xml:space="preserve">apakšpunktā</w:t>
            </w:r>
            <w:r w:rsidR="00000000" w:rsidRPr="00000000" w:rsidDel="00000000">
              <w:rPr>
                <w:rtl w:val="0"/>
              </w:rPr>
              <w:t xml:space="preserve"> minētais rezultāta rādītājs ir sasniegts, ja pētniecības pieteikumi ir sagatavoti un iesniegti starptautiskā pētniecības un attīstības projektu konkursā (piemēram, Apvārsnis Eiropa, Apvārsnis Eiropa partnerībā, Eiropas Komisijas LIFE programmā, Nordforsk programmā un citās).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6.1.1.SAM rādītāju metodoloģijas aprakstā norādītajam, pieteikumam jābūt ne vien sagatavotam un iesniegtam, bet arī virs kvalitātes sliekšņa novērtētam, lūdzu precizēt apakšpunktu, kā arī lūdzu izvērtēt nepieciešamību papildināt MKN projekta 2.punktu ar apakšpunktu, skaidrojot terminu "</w:t>
            </w:r>
            <w:r w:rsidR="00000000" w:rsidRPr="00000000" w:rsidDel="00000000">
              <w:rPr>
                <w:rtl w:val="0"/>
              </w:rPr>
              <w:t xml:space="preserve">virs kvalitātes sliekšņa novērtēts projekts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lūdzu Anotācijā norādīt demarkāciju ar SAMP 1.1.1.5 3.kārtu, ņemot vērā, ka pasākuma projektos tiks attiecināti Apvāršņa pētniecības pieteikumu  sagatavošanas izdevumi un rādītājs. Tāpat aicinu izvērtēt nepieciešamību Anotācijā norādīt sinerģiju/demarkāciju par sadarbību ar konsorcijiem, tai skaitā eLTER konsorcijā (noteikumu projekta 31.6.apakšpunkts), tā kā 1.1.1.5 pasākuma 3.kārtas ietvarā Latvijas Universitāte ir noteikta kā nacionālais koordinators eLTER  konsorcijā.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tiek atbalstīts pētniecības projekta pieteikums, kas izstrādāts, lai īstenotu mērķi “pētniecības attīstība dabas resursu ilgtspējīgai izmantošanai kūdras nozarē un Latvijas klimatneitralitātes sasniegšanas veicināšanai” un šī mērķa sasniegšanai tiek noteikti šādi tematiskie uzdevumi: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izvērtēt iespēju MKN apakšpunktā norādītos tematiskos uzdevumus noteikt kā projekta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īstenošanā noteikt šādus kopīgus (horizontālos)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14.punktu, papildinot ar informāciju par subjektu, kam tiek doti šādi uzdevumi. Vienlaikus aicinām izvērtēt iespēju noteikumu projekta 14.punktā noteiktos horizontālos uzdevumus iekļaut projektu iesniegumu atlases nolikumā vai līgumos par projekta īstenošanu, nevis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skaidru izpratni par ietverto normu, lūdzam precizēt,  ar kādiem dalībniekiem jāizpilda kopīgie uzdevumi, proti, ar konsorciju dalībniekiem vai tomēr ar visiem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plānotais kopējais finansējums ir 5 981 103 </w:t>
            </w:r>
            <w:r w:rsidR="00000000" w:rsidRPr="00000000" w:rsidDel="00000000">
              <w:rPr>
                <w:i w:val="1"/>
                <w:rtl w:val="0"/>
              </w:rPr>
              <w:t xml:space="preserve">euro</w:t>
            </w:r>
            <w:r w:rsidR="00000000" w:rsidRPr="00000000" w:rsidDel="00000000">
              <w:rPr>
                <w:rtl w:val="0"/>
              </w:rPr>
              <w:t xml:space="preserve"> (tai skaitā elastības finansējums 392 838 </w:t>
            </w:r>
            <w:r w:rsidR="00000000" w:rsidRPr="00000000" w:rsidDel="00000000">
              <w:rPr>
                <w:i w:val="1"/>
                <w:rtl w:val="0"/>
              </w:rPr>
              <w:t xml:space="preserve">euro</w:t>
            </w:r>
            <w:r w:rsidR="00000000" w:rsidRPr="00000000" w:rsidDel="00000000">
              <w:rPr>
                <w:rtl w:val="0"/>
              </w:rPr>
              <w:t xml:space="preserve">), tai skaitā Taisnīgas pārkārtošanās fonda finansējums 5 083 937 </w:t>
            </w:r>
            <w:r w:rsidR="00000000" w:rsidRPr="00000000" w:rsidDel="00000000">
              <w:rPr>
                <w:i w:val="1"/>
                <w:rtl w:val="0"/>
              </w:rPr>
              <w:t xml:space="preserve">euro</w:t>
            </w:r>
            <w:r w:rsidR="00000000" w:rsidRPr="00000000" w:rsidDel="00000000">
              <w:rPr>
                <w:rtl w:val="0"/>
              </w:rPr>
              <w:t xml:space="preserve"> (tai skaitā elastības finansējums 333 912 </w:t>
            </w:r>
            <w:r w:rsidR="00000000" w:rsidRPr="00000000" w:rsidDel="00000000">
              <w:rPr>
                <w:i w:val="1"/>
                <w:rtl w:val="0"/>
              </w:rPr>
              <w:t xml:space="preserve">euro</w:t>
            </w:r>
            <w:r w:rsidR="00000000" w:rsidRPr="00000000" w:rsidDel="00000000">
              <w:rPr>
                <w:rtl w:val="0"/>
              </w:rPr>
              <w:t xml:space="preserve">) un valsts budžeta līdzfinansējums 897 166 </w:t>
            </w:r>
            <w:r w:rsidR="00000000" w:rsidRPr="00000000" w:rsidDel="00000000">
              <w:rPr>
                <w:i w:val="1"/>
                <w:rtl w:val="0"/>
              </w:rPr>
              <w:t xml:space="preserve">euro</w:t>
            </w:r>
            <w:r w:rsidR="00000000" w:rsidRPr="00000000" w:rsidDel="00000000">
              <w:rPr>
                <w:rtl w:val="0"/>
              </w:rPr>
              <w:t xml:space="preserve"> (tai skaitā elastības finansējums 58 926 </w:t>
            </w:r>
            <w:r w:rsidR="00000000" w:rsidRPr="00000000" w:rsidDel="00000000">
              <w:rPr>
                <w:i w:val="1"/>
                <w:rtl w:val="0"/>
              </w:rPr>
              <w:t xml:space="preserve">euro</w:t>
            </w:r>
            <w:r w:rsidR="00000000" w:rsidRPr="00000000" w:rsidDel="00000000">
              <w:rPr>
                <w:rtl w:val="0"/>
              </w:rPr>
              <w:t xml:space="preserve">). Pasākumam pieejamais kopējais finansējums ir 5 588 265 </w:t>
            </w:r>
            <w:r w:rsidR="00000000" w:rsidRPr="00000000" w:rsidDel="00000000">
              <w:rPr>
                <w:i w:val="1"/>
                <w:rtl w:val="0"/>
              </w:rPr>
              <w:t xml:space="preserve">euro</w:t>
            </w:r>
            <w:r w:rsidR="00000000" w:rsidRPr="00000000" w:rsidDel="00000000">
              <w:rPr>
                <w:rtl w:val="0"/>
              </w:rPr>
              <w:t xml:space="preserve">, tai skaitā Taisnīgas pārkārtošanās fonda finansējums 4 750 025 </w:t>
            </w:r>
            <w:r w:rsidR="00000000" w:rsidRPr="00000000" w:rsidDel="00000000">
              <w:rPr>
                <w:i w:val="1"/>
                <w:rtl w:val="0"/>
              </w:rPr>
              <w:t xml:space="preserve">euro</w:t>
            </w:r>
            <w:r w:rsidR="00000000" w:rsidRPr="00000000" w:rsidDel="00000000">
              <w:rPr>
                <w:rtl w:val="0"/>
              </w:rPr>
              <w:t xml:space="preserve"> un valsts budžeta līdzfinansējums 838 240 </w:t>
            </w:r>
            <w:r w:rsidR="00000000" w:rsidRPr="00000000" w:rsidDel="00000000">
              <w:rPr>
                <w:i w:val="1"/>
                <w:rtl w:val="0"/>
              </w:rPr>
              <w:t xml:space="preserve">euro</w:t>
            </w:r>
            <w:r w:rsidR="00000000" w:rsidRPr="00000000" w:rsidDel="00000000">
              <w:rPr>
                <w:rtl w:val="0"/>
              </w:rPr>
              <w:t xml:space="preserve">. Maksimālais Taisnīgas pārkārtošanās fonda finansējuma apmērs nepārsniedz 85 procentus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viennozīmīgu interpretāciju, lūdzam izteikt noteikumu projekta 15.punkta otro teikumu šādā redakcijā: "Projektu iesniegumos pasākuma īstenošanai kopējo pasākuma pieejamo finansējumu plāno ne vairāk kā 5 588 265 </w:t>
            </w:r>
            <w:r w:rsidR="00000000" w:rsidRPr="00000000" w:rsidDel="00000000">
              <w:rPr>
                <w:i w:val="1"/>
                <w:rtl w:val="0"/>
              </w:rPr>
              <w:t xml:space="preserve">euro</w:t>
            </w:r>
            <w:r w:rsidR="00000000" w:rsidRPr="00000000" w:rsidDel="00000000">
              <w:rPr>
                <w:rtl w:val="0"/>
              </w:rPr>
              <w:t xml:space="preserve"> apmērā, tai skaitā Taisnīgas pārkārtošanās fonda finansējumu - 4 750 025 </w:t>
            </w:r>
            <w:r w:rsidR="00000000" w:rsidRPr="00000000" w:rsidDel="00000000">
              <w:rPr>
                <w:i w:val="1"/>
                <w:rtl w:val="0"/>
              </w:rPr>
              <w:t xml:space="preserve">euro</w:t>
            </w:r>
            <w:r w:rsidR="00000000" w:rsidRPr="00000000" w:rsidDel="00000000">
              <w:rPr>
                <w:rtl w:val="0"/>
              </w:rPr>
              <w:t xml:space="preserve"> apmērā un valsts budžeta līdzfinansējumu - 838 240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plānotais kopējais finansējums ir 5 981 103 euro (tai skaitā elastības finansējums 392 838 euro), tai skaitā Taisnīgas pārkārtošanās fonda finansējums 5 083 937 euro (tai skaitā elastības finansējums 333 912 euro) un valsts budžeta līdzfinansējums 897 166 euro (tai skaitā elastības finansējums 58 926 euro). </w:t>
            </w:r>
            <w:r w:rsidR="00000000" w:rsidRPr="00000000" w:rsidDel="00000000">
              <w:rPr>
                <w:b w:val="1"/>
                <w:rtl w:val="0"/>
              </w:rPr>
              <w:t xml:space="preserve">Projektu iesniegumos pasākuma īstenošanai kopējo pasākuma pieejamo finansējumu plāno ne vairāk kā 5 588 265 euro apmērā, tai skaitā Taisnīgas pārkārtošanās fonda finansējumu - 4 750 025 euro apmērā un valsts budžeta līdzfinansējumu - 838 240 euro apmērā.</w:t>
            </w:r>
            <w:r w:rsidR="00000000" w:rsidRPr="00000000" w:rsidDel="00000000">
              <w:rPr>
                <w:rtl w:val="0"/>
              </w:rPr>
              <w:t xml:space="preserve"> Maksimālais Taisnīgas pārkārtošanās fonda finansējuma apmērs nepārsniedz 85 procentus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pasākuma ietvaros ir zinātniskā institūcija, kas 2019. gada zinātnisko institūciju darbības starptautiskajā novērtējumā ieguvusi vismaz četru ballu novērtējumu vai zinātnes universitāte, kas var iesniegt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ar saimniecisku darbību nesaistītu projektu, ja projekta iesniedzējs kā zinātniskā institūcija atbilst pētniecības organizācijas definīcijai. Ja sadarbības iestāde apstiprina projekta iesniegumu un noslēdz vienošanos par projekta īstenošanu, projekta iesniedzējs ir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Savienības fondu 2021.—2027. gada plānošanas perioda vadības likuma 1. panta 3. punktu, finansējuma saņēmējs ir persona, kuras projekta iesniegums ir apstiprināts. Ievērojot minēto, aicinām svītrot noteikumu projekta 17. punktā nosacījumu "un noslēdz vienošanos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atbalstāmo darbību īstenošanā finansējuma saņēmējs kā vadošā institūcija piesaista vismaz divus sadarbības partnerus, kopā veidojot konsorciju no vismaz trīs zinātniskajām institūcijām, starp kurām ir vismaz divas zinātnes universitātes un vismaz viena zinātniskā institūcija, kura 2019. gada zinātnisko institūciju darbības starptautiskajā novērtējumā  ieguvusi vismaz četru ballu novērtējumu, ieskaitot vadošo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normas piemērošanu un atbilstību Eiropas Savienības fondos lietotajai terminoloģijai, lūdzam svītrot noteikumu projekta 18. punktā vārdus "kā vadošā institūcija" un vārdus "ieskaitot vadošo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31. punktā  minēto atbalstāmo darbību īstenošanā finansējuma saņēmējs piesaista vismaz divus sadarbības partnerus, kopā veidojot konsorciju no vismaz trīs zinātniskajām institūcijām, starp kurām ir vismaz divas zinātnes universitātes un vismaz viena zinātniskā institūcija, kura 2019. gada zinātnisko institūciju darbības starptautiskajā novērtējumā  ieguvusi vismaz četru ballu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projekta iesniegumam pievieno apliecinājumu par sadarbību, kā arī trīs mēnešu laikā pēc tam, kad noslēgta vienošanās par projekta īstenošanu, noslēdz sadarbības līgumus ar 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​​​​​​​minētajiem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 ir zinātniskā institūcija, kas var būt arī privāto tiesību juridiskā persona, lūdzam precizēt noteikumu projekta 21. punktu, nosakot, ka tiek noslēgts līgums vai vienošanās par projekta īstenošanu. Lūdzam atbilstoši precizēt arī noteikumu projekta 50. un 58.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projekta iesniegumam pievieno apliecinājumu par sadarbību, kā arī trīs mēnešu laikā pēc tam, kad </w:t>
            </w:r>
            <w:r w:rsidR="00000000" w:rsidRPr="00000000" w:rsidDel="00000000">
              <w:rPr>
                <w:b w:val="1"/>
                <w:rtl w:val="0"/>
              </w:rPr>
              <w:t xml:space="preserve">noslēgts līgums vai</w:t>
            </w:r>
            <w:r w:rsidR="00000000" w:rsidRPr="00000000" w:rsidDel="00000000">
              <w:rPr>
                <w:rtl w:val="0"/>
              </w:rPr>
              <w:t xml:space="preserve"> vienošanās par projekta īstenošanu, noslēdz sadarbības līgumus ar šo noteikumu 18. un 19. punktā minētajiem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Sadarbības līgumā iekļauj informāciju atbilstoši normatīvajiem aktiem par kārtību, kādā Eiropas Savienības fondu vadībā iesaistītās institūcijas nodrošina šo fondu ieviešanu 2021.–2027. gada plānošanas periodā, un paredzot tajā pušu tiesības, pienākumus un atbildību, un iekļaujot vismaz šādus saturiskās un finansiālās sadarbības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pēc nepieciešamības precizēt noteikumu projekta 22.punktu, lai nedublētu Ministru kabineta 2023. gada 13. jūlija noteikumu Nr. 408 "Kārtība, kādā Eiropas Savienības fondu vadībā iesaistītās institūcijas nodrošina šo fondu ieviešanu 2021.–2027. gada plānošanas periodā" 6.punktā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iesniedzējs izstrādā projekta ieviešanas darba plānu, tajā paredzot projekta rezultātu sasniegšanas, ieviešanas un izplatīšanas pasākumus, laika grafiku un atbilstības sadalījumu starp sadarbības partneriem, tai skaitā, paredzot projektā papildu sasniedzamos rādītājus, ja tiek izpildīts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dzēst MKN projekta apakšpunktu, nenosakot, ka darba plāns tiek iesniegts atsevišķā projekta iesnieguma pielikumā. Lūdzu plānot, ka darba plānas pilnībā tiek aprakstīts projekta iesnieguma sadaļās, tāpat kā atbildības (pieņemu, ka radusies tehniska kļūda, norādot "atbilstības)" sadalījums starp sadarbības partneriem norādāms projekta iesniegumā.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iesnieguma pielikumā pievieno: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28.4. un 28.5. apakšpunktā norādīto prasību , paskaidrojot, ko apliecina minētie dokumenti, un ja tie ir nepieciešami PZO statusa izvērtēšanai , ņemt vērā, ka minētas prasības tiks noteiktas PZO metodikā. Papildus lūdzam ņemt vērā, ka 28.5. apakšpunktā minētais dokuments nav obligāts visos gadījumos un PO galveno darbības mērķi, saimnieciskās darbības uzskaitīšanu (nodalīšanu), priviliģētas piekļuves izšķirošas ietekmi var apliecināt arī citi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tā nodokļu parādu, valsts sociālās apdrošināšanas obligāto iemaksu un citu valsts noteikto obligāto maksājumu parādu apmērs nepārsniedz 150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30.1. apakšpunktā norādīto prasību, jo ir noteikta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finansējuma saņēmējam un sadarbības partneriem parakstīt interešu konflikta neesības apliecinājumu. Ierosinām precizēt punktu, neparedzot šādu pienākumu.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plašākai vienkāršoto izmaksu izmantošanai pasākumā un kādai no pasākuma darbībām vai izmaksām piemērot /izstrādāt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laboratoriju iekārtu, materiālu, reaģentu iegāde un infrastruktūras uzturēšana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uzdevumu realizācijai, nepārsniedzot 25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31.7. apakšpunktu pārnest uz 34.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ietvaros plāno šādus izmaksu veidus: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izvērtēt iespēju šajā punktā noteiktos apakšpunktus apvienot ar 35.punkta apakšpunktiem un kopā definēt konkrētas tiešās attiecināmās izmaksas. Aicinu terminu "izmaksu veidi" lietot definējot, piemēram, tiešās attiecināmās izmaksas, netiešās attiecināmās izmaksas, ja attiecināms (vai tiešās attiecināmās pārējās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34.2.2. jaunradītu projekta vadības un īstenošanas personāla darba vietu aprīkojuma, biroja mēbeļu, tehnikas, datorprogrammu un licenču iegādes vai īres izmaksas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un īstenošanas personāls ir nodarbināts projektā uz darba līguma pamata. Ja projekta vadības un īstenošanas personāls ir nodarbināts nepilnu darba laiku vai daļlaiku, jaunradītas darba vietas aprīkojuma iegādes vai īres izmaksas ir attiecināmas proporcionāli darba slodzes procentuālajam sadalījumam, bet daļlaika noslodzes gadījumā – ņemot vērā darbinieka iesaistes periodu projektā pret kopējo projekta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34.2.2.apakšpunktu, aiz vārda "jaunradītu" papildinot ar nosacījumu: "vai gadījumos, ja esošo darba vietu aprīkojums ir nolietojies un tiek norakstīts”.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34.2.2. jaunradītu </w:t>
            </w:r>
            <w:r w:rsidR="00000000" w:rsidRPr="00000000" w:rsidDel="00000000">
              <w:rPr>
                <w:b w:val="1"/>
                <w:rtl w:val="0"/>
              </w:rPr>
              <w:t xml:space="preserve">vai gadījumos, ja esošo darba vietu aprīkojums ir nolietojies un tiek norakstīts</w:t>
            </w:r>
            <w:r w:rsidR="00000000" w:rsidRPr="00000000" w:rsidDel="00000000">
              <w:rPr>
                <w:rtl w:val="0"/>
              </w:rPr>
              <w:t xml:space="preserve"> projekta vadības un īstenošanas personāla darba vietu aprīkojuma, biroja mēbeļu, tehnikas, datorprogrammu un licenču iegādes vai īres izmaksas ne vairāk kā 3000 euro vienai darba vietai visā projekta īstenošanas laikā, ja projekta vadības un īstenošanas personāls ir nodarbināts projektā uz darba līguma pamata. Ja projekta vadības un īstenošanas personāls ir nodarbināts nepilnu darba laiku vai daļlaiku, jaunradītas</w:t>
            </w:r>
            <w:r w:rsidR="00000000" w:rsidRPr="00000000" w:rsidDel="00000000">
              <w:rPr>
                <w:b w:val="1"/>
                <w:rtl w:val="0"/>
              </w:rPr>
              <w:t xml:space="preserve"> vai gadījumos, ja esošo darba vietu aprīkojums ir nolietojies un tiek norakstīts</w:t>
            </w:r>
            <w:r w:rsidR="00000000" w:rsidRPr="00000000" w:rsidDel="00000000">
              <w:rPr>
                <w:rtl w:val="0"/>
              </w:rPr>
              <w:t xml:space="preserve"> darba vietas aprīkojuma iegādes vai īres izmaksas ir attiecināmas proporcionāli darba slodzes procentuālajam sadalījumam, bet daļlaika noslodzes gadījumā – ņemot vērā darbinieka iesaistes periodu projektā pret kopējo projekta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35.1.2. projektā nodarbinātās personas slodze visā projekta īstenošanas periodā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noteikt, ka noslodze vērtējama mēneša ietvarā, nevis visa projekta īstenošanas perioda ietvarā.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Īstenojot projekta iesnieguma starptautisko ekspertīzi Latvijas Zinātnes padome nodrošina, ka, izvērtējot projekta iesniegumus, to vidusposma un gala rezultātus, tiek izstrādāta kārtība, kādā projekta iesniegumu izvērtēšanas procesā tiks nodrošināta konfidencialitātes prasību un interešu konflikta prasību ievērošana, atbilstoši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Latvijas Zinātnes padome pārliecinās, ka ārvalstu ekspertu atlasē iesaistītie Latvijas Zinātnes padomes darbinieki un ārvalstu eksperts ir iepazinies ar attiecīgo kārtību un parakstījis apliecinājumu par interešu konflikta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šādu nosacījumu neparedzēt šī pasākuma noteikumos, LZP vienotas starptautiskas zinātniskas ekspertīzes veikšana kā  atbalstāmā darbība ir attiecināma SAMP 1.1.1.1 projektā, t.sk interešu konflikta neesamības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projekta īstenošanas vieta ir Latvijas Republikas teritorija.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47.4.apakšpunktu izdalīt atsevišķā punktā, ņemot vērā, ka šis ir nosacījums par projekta īstenošanu, nevis nosacījums, lai finansējuma saņēmējs saņemtu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Īstenojot projektu finansējuma saņēmējs un sadarbības partneris nodrošina komunikācijas un vizuālās identitātes nosacījumu ievērošanu atbilstoši Parlamenta un Padomes Regulas 2021/1060 47. pantam un 50. pantam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komunikācijas un vizuālās identitātes nosacījumu ievērošanu gan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pantam un normatīvajiem aktiem par kārtību, kādā Eiropas Savienības fondu vadībā iesaistītās institūcijas nodrošina šo fondu ieviešanu 2021.—2027. gada plānošanas periodā, gan </w:t>
            </w:r>
            <w:r w:rsidR="00000000" w:rsidRPr="00000000" w:rsidDel="00000000">
              <w:rPr>
                <w:u w:val="single"/>
                <w:rtl w:val="0"/>
              </w:rPr>
              <w:t xml:space="preserve">arī ievērojot Eiropas Savienības fondu 2021. – 2027. gada plānošanas perioda un Atveseļošanas fonda komunikācijas un dizaina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Projekta īstenošanas uzraudzībai Izglītības un zinātnes ministrija vai tās deleģēta iestāde kopīgi ar sadarbības iestādi nodrošina projekta vidusposma un gala rezultātu zinātniskās kvalitātes izvērtējumu. Projekta vidusposma un gala rezultātu zinātniskās kvalitātes izvērtējumu veic,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43. un 44. apakšpunktos ir noteikt, ka ekspertīzi SI veic sadarbībā ar LZP, aicinu pārskatīt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Projekta īstenošanas uzraudzībai Izglītības un zinātnes ministrija vai tās deleģēta iestāde kopīgi ar sadarbības iestādi nodrošina projekta vidusposma un gala rezultātu zinātniskās kvalitātes izvērtējumu. Projekta vidusposma un gala rezultātu zinātniskās kvalitātes izvērtējumu veic,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noteikumu projektā nav noteikti starpvērtību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Finansējuma saņēmējs savā tīmekļvietnē publicē informāciju atbilstoši Parlamenta un Padomes regulas Nr. 2021/1060 50.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svītrot noteikumu projekta 59.punktu, ja pēc būtības tas dublē noteikumu projekta 53. un 54.punktā noteikto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aprakstīt demarkāciju ar Vides aizsardzības un reģionālās attīstības ministrijas plānotā 6.1.1.1.pasākuma “Atteikšanās no kūdras izmantošanas enerģētikā” 1.atlases kārtu, ņemot vērā iespējamo atbalstāmo darbību pārklāšanos.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izsekojamu informāciju, kas pamato piešķiramā avansa maksimālā apjoma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lietot korektu terminoloģiju gan MKN, gan Anotācijā, norādot, ka tiek atbalstīts projekta iesniegums, nevis projekta pieteikums. Kā arī precizēt norādi par vidusposma un gala rezultātu zinātniskās kvalitātes izvērtējumu- vai ekspertīze tiks veikta 1 projekta iesniegumam, piesaistot 2 ekspertus, vai arī plānots, ka katra apakšprojekta izvērtējums tiks veikts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precizēt, ka netiešās attiecināmās izmaksas plāno kā vienu izmaksu pozīciju, piemērojot netiešo izmaksu vienoto likmi 15 procentu apmērā</w:t>
            </w:r>
            <w:r w:rsidR="00000000" w:rsidRPr="00000000" w:rsidDel="00000000">
              <w:rPr>
                <w:u w:val="single"/>
                <w:rtl w:val="0"/>
              </w:rPr>
              <w:t xml:space="preserve"> no atlīdzība zinātniskajiem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6.1.1.2.pasākumā plānoto investīciju ietekmi uz horizontālo principu “Klimatdrošināšana” un “Nenodarīt būtisku kaitējumu”. Vienlaikus vēršam uzmanību, ka šobrīd ES fondu apakškomitejas procesā virzītajos kritērijos nav paredzēts kritērijs par horizontālā principa “Nenodarīt būtisku kaitējumu” un “Klimatdrošināšana”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07.06.2024.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07.06.2024.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