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12. pantā: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pašvaldības varētu saistošajos noteikumos noteikt pašvaldības nodevu par transportlīdzekļu iebraukšanu īpaša režīma zonās, būtu jāatspoguļo princips “piesārņotājs maksā”, tādējādi likumā uzsverot nodevas mērķi - pašvaldību ceļu lietošanu ar transportlīdzekļiem, kas rada piesārņojumu.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nepieciešams papildināt likumprojekta anotāciju ar informāciju, ka pašvaldības ceļu nodevu par pašvaldības ceļu lietošanu ir tiesības piemērot tikai tajos gadījumos, kad par šo ceļu lietošanu netiek piemērota valsts nodeva par pašvaldības ceļu lietošanu atbilstoši likumprojektam "Ceļu nodevu likums" (23-TA-267), kā arī nepieciešamību veikt atbilstošus grozījumus Ministru kabineta 2005.gada 28.jūnija noteikumos Nr. 480 "Noteikumi par kārtību, kādā pašvaldības var uzlikt pašvaldību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izteikt likuma 12.panta pirmās daļas 6.punktu piedāvātā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pašvaldības ceļu lietošanu ar M, N un O kategorijas vai traktortehnikas transportlīdzekli.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Supe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