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mācību vajadzību apzināšana un izvērtēšana;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prasību nodrošināt plānoto mācību vajadzību izvērtēšanu, t.sk., iespējamo demarkāciju, Ekonomikas ministrijas Apvienotajā komisijā, kas nodrošina integrētu pieeju cilvēkkapitāla attīstības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VARAM norāda, ka mācības nav saistītas ar privāto sektoru, norādām, ka pēc būtības Ekonomikas ministrijas izveidotā komisija lemj par visa darba tirgus mācību vajadzībām, t.sk., attiecībā uz tiem darbiniekiem, kas šobrīd ir nodarbināti valsts vai pašvaldību iestādēs. Līdz ar to šāda pieeja ir svarīga integrētai un jēgpilnai investīciju vadībai Latvijas cilvēkkapitāla attīstībai.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09.07.2024. 20.14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09.07.2024. 20.14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