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marta noteikumos Nr. 195 "Sauszemes transportlīdzekļu īpašnieku civiltiesiskās atbildības obligātās apdrošināšanas garantijas fonda izveidošanas, uzkrāšanas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Grozījumi šo noteikumu 11. un 12.punktā, 11.1 un 12.1 punkta svītrošana un šo noteikumu pielikums piemērojams apdrošināšanas līgumiem, kas noslēgti sākot ar 2023.gada 23.decembri.".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un norāda, ka nav pamatoti šos grozījumus piemērot ar atpakaļejošu datumu, jo būtiski apgrūtina apdrošinātājiem, kas reģistrēti Latvijas Republikā veikt uzskaiti un aprēķinus, kā arī konkrētie grozījumi un iemaksu apmēri nav ņemti vērā nosakot un aprēķinot apdrošināšanas prēmiju apmērus apdrošināšanas līgumiem, kas noslēgti pirms šo grozījumu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noteikumi stājas spēkā ar to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marta noteikumos Nr. 195 "Sauszemes transportlīdzekļu īpašnieku civiltiesiskās atbildības obligātās apdrošināšanas garantijas fonda izveidošanas, uzkrāšanas un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projektu, tomēr nav skaidrs vai izstrādājot projektu un nosakot iemaksu apmērus (maksātnespējas risku segšanai) ir ņemta vērā citu valstu prakse šī jautājuma regulējumā un vai izvērtēts tas, ka citās valstīs iemaksas par maksātnespējas risku var būt atšķirīgas, kas var radīt nevienlīdzīgu situāciju apdrošinātājiem, kas reģistrēti Latvijas Republikā salīdzinājumā ar citās valstīs reģistrētiem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izskatīšanas gaitā šis apstāklis jāņem vērā un jānodrošina, ka šāds nevienlīdzīgas attieksmes risks ir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izvērtējumu par minēto nevienlīdzības risku un kā to novērst.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citas valstis šīs direktīvas prasības vel nav ieviesušas, pārejas procesā pastāv risks, ka Latvijas Republikā reģistrētiem apdrošinātājiem ir jāveic atskaitījumi fondā par apdrošināšanas līgumiem, kas noslēgti ārpus Latvijas Republikas gan Latvijā, gan tajā valstī, kurā apdrošināšanas līgumi noslēgti.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izskatīšanas gaitā šis apstāklis jāņem vērā un jānodrošina, ka šāds nevienlīdzīgas attieksmes risks ir novērsts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 skaidrojumu kā tiks novērsts 1.3.punkta noteiktā maksājuma nevienlīdzības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26.02.2024. 23.00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26.02.2024. 23.00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