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3.1.1. specifiskā atbalsta mērķa "Attīstīt ilgtspējīgu, pret klimatu izturīgu, inteliģentu, drošu un vairākveidu TEN-T infrastruktūru" 3.1.1.4. pasākuma "Rīgas pilsētas transporta 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Projekta iesniedzējs projekta īstenošanai, tai skaitā elastības finansējuma priekšfinansēšanai, var piesaistīt papildu publiskos līdzekļus, piemēram, pašvaldības finansējumu vai pašvaldības aizņēmumu Valsts kasē.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aizņemšanās mērķi un nosacījumi, pamatojoties uz  Likumā par budžetu un finanšu vadību un likumā “Par pašvaldību budžetiem” doto deleģējumu, tiek  noteikti  tikai gadskārtējā valsts budžeta likumā. Līdz ar to, pašvaldībai piesakoties projekta īstenošanai, ir detalizēti jāizvērtē projekta kopējās plānotās izmaksas,  kā arī  sava finanšu situācija un iespējas īstenot projektu, attiecībā uz aizņemšanās iespējām stingri ievērojot  gadskārtējā valsts budžeta likumā noteiktos aizņemšanās mērķus un nosacījumus. Attiecīgi lūdzam izteikt noteikumu projekta 7.punktu piedāvātajā redakcijā un atbilstoši precizēt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Projekta iesniedzējs projekta īstenošanai, tai skaitā elastības finansējuma priekšfinansēšanai, var piesaistīt papildu publiskos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Pasākumu īsteno līdz 2029. gada 31. decembrim, sasniedzot šādus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10.punktā definētos sasniedzamos rādītājus un izvērtēt, vai šie ir nacionālie, vai </w:t>
            </w:r>
            <w:r w:rsidR="00000000" w:rsidRPr="00000000" w:rsidDel="00000000">
              <w:rPr>
                <w:i w:val="1"/>
                <w:rtl w:val="0"/>
              </w:rPr>
              <w:t xml:space="preserve">Eiropas Savienības kohēzijas politikas programmā 2021.–2027.gadam </w:t>
            </w:r>
            <w:r w:rsidR="00000000" w:rsidRPr="00000000" w:rsidDel="00000000">
              <w:rPr>
                <w:rtl w:val="0"/>
              </w:rPr>
              <w:t xml:space="preserve">(turpmāk- Programma) iekļautie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rādītāji nav iekļauti Programmā lūgums tos definēt par "nacionālajiem rādītājiem", dzēšot vārdus "iznākuma" un "rezultāta", ņemot vērā to, ka Kohēzijas politikas fondu vadības informācijas sistēmā nav paredzēts nacionālos rādītājus iedalīt iznākuma un rezultāta rādītājos. Papildus lūgums izvērtēt, vai noteikumu projekta 25.2.apakšpunktā norādītie uzkrājamie dati nav jānorāda kā Programmas rādītājs pie 10.punkta.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Pasākuma ietvaros ir attiecināmas šādas projekta tiešās attiecināmās izmaksas, kas ir tieši saistītas ar projekta īstenošanu un nepieciešamas projekta rezultātu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būvdarbu līgumcenas indeksācijas izmaksām, kas veidosies indeksācijas nosacījumu izpildes rezultātā, un atbilstoši anotācijai ir ietveramas projekta tiešajās attiecināmajās izmaksās.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Pasākuma ietvaros ir attiecināmas šādas projekta tiešās attiecināmās izmaksas, kas ir tieši saistītas ar projekta īstenošanu un nepieciešamas projekta rezultātu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vienkāršoto izmaksu iespējami plašāku piemērošanu. Ja piemērot vienkāršotās izmaksas nav iespējams, lūdzam sniegt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zemes iegādes izmaksas, ja zemes iegāde ir tieši nepieciešama projektā paredzētās būvniecības īstenošanai, ne vairāk kā 10 procenti no attiecināmo izmaksu kopsummas;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vadlīniju attiecināmo izmaksu noteikšanai Eiropas Savienības kohēzijas politikas programmas 2021.-2027.gada plānošanas periodā 15.3.apakšpunktā ir noteikts, ka atbildīgā iestāde, izstrādājot MK noteikumus par specifiskā atbalsta mērķa (turpmāk - SAM) īstenošanu, sākotnējās ietekmes izvērtējumā (anotācijā) norāda pamatojumu noteikumu projekta 10.punktā ietverto izmaksu nepieciešamībai SAM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atbilstošu pamatojumu lūdzam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18.16. izdevumi neparedzētu izmaksu segšanai ne vairāk kā 5 procentu apmērā no kopējo tiešo attiecināmo izmaksu 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vadlīniju attiecināmo izmaksu noteikšanai Eiropas Savienības kohēzijas politikas programmas 2021.-2027.gada plānošanas periodā 12.2.apakšpunktā noteikto katrā SAM procentuālais apmērs neparedzētajiem izdevumiem ir jāizvērtē individuāli, atkarībā no tā, cik apjomīgus un sarežģītus projektus paredzēts īstenot attiecīgajā SAM, taču tas kopumā nedrīkst pārsniegt 5 % no kopējo tiešo attiecināmo izmaksu summas. Līdz ar to lūdzam anotācijā iekļaut pamatojumu, kāpēc konkrētajā SAM procentuālais apmērs neparedzētajiem izdevumiem ir noteikts tieši 5%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18.1.</w:t>
            </w:r>
            <w:r w:rsidR="00000000" w:rsidRPr="00000000" w:rsidDel="00000000">
              <w:rPr>
                <w:rtl w:val="0"/>
              </w:rPr>
              <w:t xml:space="preserve">, </w:t>
            </w:r>
            <w:r w:rsidR="00000000" w:rsidRPr="00000000" w:rsidDel="00000000">
              <w:rPr>
                <w:rtl w:val="0"/>
              </w:rPr>
              <w:t xml:space="preserve">18.13.</w:t>
            </w:r>
            <w:r w:rsidR="00000000" w:rsidRPr="00000000" w:rsidDel="00000000">
              <w:rPr>
                <w:rtl w:val="0"/>
              </w:rPr>
              <w:t xml:space="preserve"> un </w:t>
            </w:r>
            <w:r w:rsidR="00000000" w:rsidRPr="00000000" w:rsidDel="00000000">
              <w:rPr>
                <w:rtl w:val="0"/>
              </w:rPr>
              <w:t xml:space="preserve">18.4. </w:t>
            </w:r>
            <w:r w:rsidR="00000000" w:rsidRPr="00000000" w:rsidDel="00000000">
              <w:rPr>
                <w:rtl w:val="0"/>
              </w:rPr>
              <w:t xml:space="preserve">apakšpunktā</w:t>
            </w:r>
            <w:r w:rsidR="00000000" w:rsidRPr="00000000" w:rsidDel="00000000">
              <w:rPr>
                <w:rtl w:val="0"/>
              </w:rPr>
              <w:t xml:space="preserve"> minētās izmaksas kopā nepārsniedz 10 procentus no projekta kopējām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vadlīniju attiecināmo izmaksu noteikšanai Eiropas Savienības kohēzijas politikas programmas 2021.-2027.gada plānošanas periodā 10.2.apakšpunktā noteikto projekta iesnieguma pamatojošās dokumentācijas sagatavošanas izmaksas, būvuzraudzības, autoruzraudzības, būvprojekta tehniskā projekta vai skiču projekta stadijā izmaksas, energosertifikācijas un energoaudita izmaksas kopā ir attiecināmas līdz 10% no projekta kopējām attiecināmajām izmaksām, ja tas ir noteikts Ministru kabineta noteikumos par specifiskā atbalsta mērķa īstenošanu (t.sk. veicot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pārskatīt noteikumu projekta 19.punktā norādītās atsauces, aizstājot atsauci uz noteikumu projekta 18.4.apakšpunktu ar atsauci uz noteikumu projekta 18.14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Izmaksas, kas saskaņā ar šiem noteikumiem nav iekļaujamas kā attiecināmās izmaksas, ir finansējamas ārpus projekta.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attiecināmās izmaksās nav iekļaujamas arī tādas izmaksas, kas pārsniedz noteiktos izmaksu ierobežojumus.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uzkrāj datus par laika ietaupījumu (dienas/gadā) no uzlabotas transporta infrastruktūras;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kārtību, kādā plānots uzkrāt 25.2.apakšpunktā minētos datus un, vai atbildīgā iestāde plāno izstrādāt metodiku kā šos datus iegūt un uzskaitīt. Ja jā, tad lūdzam iekļaut anotācijā informāciju par metodiku un tās pieejamību (piem., norādot tīmekļvietni).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25.8. nodrošina, ka projekta īstenošanas laikā, transporta infrastruktūra un zeme, kas nepieciešama projekta īstenošanai, ir finansējuma saņēmēja īpašumā, vai arī, būvniecības iecere ir saskaņota ar projekta īstenošanai nepieciešamo zemes īpašumu īpašniekiem, atbilstoši būvniecības jomas normatīvo aktu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noteikumu projekts ir attiecināms uz infrastruktūru, tad noteikumu projektā jāiekļauj nosacījumi par</w:t>
            </w:r>
            <w:r w:rsidR="00000000" w:rsidRPr="00000000" w:rsidDel="00000000">
              <w:rPr>
                <w:b w:val="1"/>
                <w:u w:val="single"/>
                <w:rtl w:val="0"/>
              </w:rPr>
              <w:t xml:space="preserve"> finansējuma saņēmēja tiesībām uz konkrēto objektu vai īpašumu, kurā plānots veikt ieguldījumus</w:t>
            </w:r>
            <w:r w:rsidR="00000000" w:rsidRPr="00000000" w:rsidDel="00000000">
              <w:rPr>
                <w:rtl w:val="0"/>
              </w:rPr>
              <w:t xml:space="preserve"> (īpašumā, ilgtermiņa nomā vai nodibinātas apbūves tiesības, bezatlīdzības lietošanā, valdījumā, turējumā u.c.), un finansējuma saņēmēja tiesībām uz konkrēto objektu vai īpašumu jābūt nostiprinātām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Sadarbības iestāde, ja tai ir pieejami valsts budžeta līdzekļi, pamatojoties uz finansējuma saņēmēja rakstisku avansa pieprasījumu un izvērtējot plānotā avansa apmēru, tā pamatojumu un spēju to izlietot sešu mēnešu laikā (piemēram, projekta iesniedzējam ir pabeigts būvdarbu iepirkums vai noslēgts būvdarbu līgums), var piešķirt finansējuma saņēmējam avansu līdz 50 procentiem no projektam piešķirtā Kohēzijas fonda finansējuma pēc vienošanās par projekta īstenošanu noslēgšanas, ievērojot, ievērojot, ka avansa un starpposma maksājumu kopsumma nepārsniedz 90 procentus no projektam piešķirtā Kohēzijas fonda finansējuma.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2023. gada 25. aprīļa noteikumu Nr. 205 "Valsts budžeta līdzekļu plānošanas kārtība Eiropas Savienības fondu projektu īstenošanai un maksājumu veikšanai 2021.– 2027. gada plānošanas periodā" 10. punktam  maksimālais avansa apjoms nevar pārsniegt 30 % no projektam piešķirtā Eiropas Savienības fonda finansējuma un, ja tas ir paredzēts projektā, valsts budžeta līdzfinansējuma kopsummas.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pamatotos gadījumos uz Ministru kabinetu var virzīt priekšlikumu lemt par lielāka avansa apjoma piešķiršanu, tomēr tad anotācijā jāpamato šāda avansa apmēra nepieciešamība un lietderība.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27. punktā noteikto avansa apmēru (līdz 50 procentiem),</w:t>
            </w:r>
            <w:r w:rsidR="00000000" w:rsidRPr="00000000" w:rsidDel="00000000">
              <w:rPr>
                <w:u w:val="single"/>
                <w:rtl w:val="0"/>
              </w:rPr>
              <w:t xml:space="preserve"> lūdzam sniegt pamatojumu anotācijā šāda avansa apmēra nepieciešamībai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noteikumu projekta 27.punkta redakciju, nosakot, ka avanss ir piešķirams, pamatojoties uz finansējuma saņēmēja rakstisku avansa pieprasījumu un izvērtējot plānotā avansa apmēru, tā pamatojumu un spēju to apgūt 6 mēnešu laikā </w:t>
            </w:r>
            <w:r w:rsidR="00000000" w:rsidRPr="00000000" w:rsidDel="00000000">
              <w:rPr>
                <w:b w:val="1"/>
                <w:rtl w:val="0"/>
              </w:rPr>
              <w:t xml:space="preserve">saimnieciskā gada ietvaros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2.2.apakšpunktu ar informāciju par tiesību akta nozīmi un pienesumu Latvijas kopējai izaugsmei un tautsaimniecības attīstībai, ņemot vērā Finanšu ministrijas 2023.gada vēstulē Nr. 5.1-24/21/ 1076 “Par Eiropas Savienības fondu un Atveseļošanas fonda investīciju pienesumu tautsaimniecībai” ietverto aicinājumu. Vēršam uzmanību, ka saskaņā ar MK 2021.gada 7.septembra noteikumu Nr.617 “Tiesību akta projekta sākotnējās ietekmes izvērtēšanas kārtība” 14.punktā noteikto, izstrādājot sākotnējās ietekmes novērtējumu (anotāciju), ir jāizvērtē arī normatīvā akta ietekme uz tautsaimniecību, norādot pēc iespējas izmērāmus rādītājus, kā arī novērtējot konkrētus aspektus par plānoto ieguldījumu sagaidāmo ietekmi un efektivitāti, t.sk. faktiski sagaidāmos rezultātus/uzlabojumus. Pienesumu tautsaimniecībai atspoguļo, piemēram, izmērāma ietekme uz makroekonomisko vidi, pienesums ekonomikas transformācijai, nozaru konkurētspējai, uzņēmējdarbības videi, nodarbinātībai, kā arī ietekme uz nozaru politikas mērķiem, </w:t>
            </w:r>
            <w:r w:rsidR="00000000" w:rsidRPr="00000000" w:rsidDel="00000000">
              <w:rPr>
                <w:rtl w:val="0"/>
              </w:rPr>
              <w:t xml:space="preserve">Latvijas Nacionālajā attīstības plānā noteiktajiem mērķiem, u.c.</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ietvaros plānotais kopējais finansējums ir ne mazāks kā 86 941 177 </w:t>
            </w:r>
            <w:r w:rsidR="00000000" w:rsidRPr="00000000" w:rsidDel="00000000">
              <w:rPr>
                <w:i w:val="1"/>
                <w:rtl w:val="0"/>
              </w:rPr>
              <w:t xml:space="preserve">euro</w:t>
            </w:r>
            <w:r w:rsidR="00000000" w:rsidRPr="00000000" w:rsidDel="00000000">
              <w:rPr>
                <w:rtl w:val="0"/>
              </w:rPr>
              <w:t xml:space="preserve"> (tai skaitā elastības finansējuma apjoms – 13 291 762 </w:t>
            </w:r>
            <w:r w:rsidR="00000000" w:rsidRPr="00000000" w:rsidDel="00000000">
              <w:rPr>
                <w:i w:val="1"/>
                <w:rtl w:val="0"/>
              </w:rPr>
              <w:t xml:space="preserve">euro</w:t>
            </w:r>
            <w:r w:rsidR="00000000" w:rsidRPr="00000000" w:rsidDel="00000000">
              <w:rPr>
                <w:rtl w:val="0"/>
              </w:rPr>
              <w:t xml:space="preserve">), tai skaitā Kohēzijas fonda finansējums 71 483 894  </w:t>
            </w:r>
            <w:r w:rsidR="00000000" w:rsidRPr="00000000" w:rsidDel="00000000">
              <w:rPr>
                <w:i w:val="1"/>
                <w:rtl w:val="0"/>
              </w:rPr>
              <w:t xml:space="preserve">euro</w:t>
            </w:r>
            <w:r w:rsidR="00000000" w:rsidRPr="00000000" w:rsidDel="00000000">
              <w:rPr>
                <w:rtl w:val="0"/>
              </w:rPr>
              <w:t xml:space="preserve"> (tai skaitā elastības finansējuma apjoms – 11 297 998 </w:t>
            </w:r>
            <w:r w:rsidR="00000000" w:rsidRPr="00000000" w:rsidDel="00000000">
              <w:rPr>
                <w:i w:val="1"/>
                <w:rtl w:val="0"/>
              </w:rPr>
              <w:t xml:space="preserve">euro</w:t>
            </w:r>
            <w:r w:rsidR="00000000" w:rsidRPr="00000000" w:rsidDel="00000000">
              <w:rPr>
                <w:rtl w:val="0"/>
              </w:rPr>
              <w:t xml:space="preserve">) un nacionālais finansējums (pašvaldību finansējums) – ne mazāks kā 15 457 283 </w:t>
            </w:r>
            <w:r w:rsidR="00000000" w:rsidRPr="00000000" w:rsidDel="00000000">
              <w:rPr>
                <w:i w:val="1"/>
                <w:rtl w:val="0"/>
              </w:rPr>
              <w:t xml:space="preserve">euro</w:t>
            </w:r>
            <w:r w:rsidR="00000000" w:rsidRPr="00000000" w:rsidDel="00000000">
              <w:rPr>
                <w:rtl w:val="0"/>
              </w:rPr>
              <w:t xml:space="preserve"> (tai skaitā elastības finansējuma apjoms 1 993 764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noteikumu projekta 4.punktā noteikt lielāku minimālo pašvaldības līdzfinansējuma likmi par 15%, un gadījumā, ja šāda līdzfinansējuma intensitāte ir objektīvi nepieciešama un pamatota, lūdzam to norādīt anotācijā. Vienlaikus vēršam uzmanību, ka šobrīd noteikumu projektā nav ievērota konsekventa pieeja, jo līdzfinansējuma likme ir atšķirīga pieejamajam un elastības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šobrīd anotācijā norādīta vēl lielāka pašvaldības līdzfinansējuma daļa projektā un attiecīgi lielāka kopējā projekta īstenošanai nepieciešamā attiecināmo izmaksu summa (indikatīvi 138 820 000 euro, tai skaitā Kohēzijas fonda finansējums 71 483 894 euro un nacionālais finansējums (pašvaldības līdzfinansējums) indikatīvi 67 336 106 euro apmērā). Lai nodrošinātu informācijas izsekojamību, lūdzam papildināt anotāciju ar informāciju, vai projektu pilnā apmērā paredzēts īstenot kā ES fondu projektu, vai arī pašvaldības finansējums papildus noteikumu projektā paredzētajam plānots ārpus projekta.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Pēc 2026. gada 1. janvāra atbildīgā iestāde atbilstoši Eiropas Komisijas lēmumam par vidusposma pārskatu var ierosināt sadarbības iestādei palielināt projektam pieejamo Kohēzijas fonda finansējumu līdz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minētajam apmēram, nepārsniedzot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noteikto maksimālo Kohēzijas fonda finansējuma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8.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Atbildīgā iestāde pēc Eiropas Komisijas lēmuma par vidusposma pārskatu var ierosināt no 2026. gada 1. janvāra palielināt pasākumam pieejamo kopējo finansējumu līdz šo noteikumu 4. punktā minētajam plānotajam kopējam finansējuma apmēram, nepārsniedzot šo noteikumu 5. punktā noteikto maksimālo Kohēzijas fonda finansējuma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transportbūvju un ielu kompleksam piegulošo inženiertīklu būvniecības izmaksas. Izmaksas attiecināmas tikai gadījumā, ja tiek nodrošināts sertificēta būvinženiera ekspertīzes atzinums, kurā konstatēts, ka projekta ietvaros veicot plānotos ieguldījumus noteiktās teritorijās, nav iespējams izvairīties no minētās infrastruktūras bojāšanas, pārbūves vai pārcelšanas, un ieguldījumi inženiertīklu pārbūvē tiek veikti nemainot inženiertīklu tehniskos parametrus un neradot priekšrocības to īpašniekiem;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pasākuma sasaisti ar 6.1.3.1.pasākumu, lūdzam izvērtēt, vai nav nosakāms transportbūvju un ielu kompleksam piegulošo inženiertīklu būvniecības izmaksu procentuālais ierobežojums vai sniegt skaidrojumu anotācijā, kāpēc tas netiek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18.15. projekta informācijas un publicitātes pasākumu izmaksas atbilstoši normatīvajiem aktiem par kārtību, kādā Eiropas Savienības fondu ieviešanā 2021.–2027. gada plānošanas periodā nodrošināma komunikācijas un vizuālās identitātes prasību ievērošana;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Eiropas Savienības fondu praksē un normatīvajos aktos lietoto terminoloģiju, lūdzam aizstāt noteikumu projekta 18.15. un 25.10. apakšpunktā vārdus "informācijas un publicitātes pasākumu" ar vārdiem "komunikācijas un vizuālās identitātes prasību nodrošināšanas".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svītrot noteikumu projekta 18.15. apakšpunktā atsauci uz normatīvo aktu, ņemot vērā, ka attiecīgajā normatīvajā aktā nav iekļautas minēto prasību izmaksas, bet gan to saturs. Lūdzam atbilstoši precizēt arī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18.15. projekta komunikācijas un vizuālās identitātes prasību nodrošināšanas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Pievienotās vērtības nodokļa maksājumi, kas tiešā veidā saistīti ar projektu, ir attiecināmās izmaksas, ja tos nevar atgūt atbilstoši normatīvajiem aktiem par pievienotās vērtības nodokli.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papildināt noteikumu projekta 20. punktu aiz vārdiem "ir attiecināmās izmaksas" ar vārdiem uz skaitļiem "atbilstoši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64. panta 1. punkta “c” apakšpunkta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rosinām izvērtēt nepieciešamību noteikumu projekta 20. punktā atrunāt minētās regulas saīsinājumu, kuru lietot arī noteikumu projekta 25.10.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uzkrāj datus par projektā sasniegto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minēto rādītāju;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10.punktā minēti vairāki rādītāji, vai arī papildināt, norādot, par kuru rādītāju finansējuma saņēmējam ir jāuzkrāj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uzkrāj datus par projekta ietekmi uz horizontālā principa “Vienlīdzība, iekļaušana, nediskriminācija un pamattiesību ievērošana” rādītāju – objektu skaits, kuros Kohēzijas fonda ieguldījumu rezultātā ir nodrošināta vides un informācijas pieejamība – un citiem horizontālo principu rādītājiem (ja attiecināms) un ievēro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25.3.apakšpunktu ar jaunu apakšpunktu, norādot finansējuma saņēmēja pienākumu ievērot principu: energoefektivitāte pirmajā vietā.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anotācijas tekstu, norādot, vai investīcijām būs tieša, netieša, vai nebūs ietekmes uz horizontālo principu “Klimatdrošināšana”, “Energoefektivitāte pirmajā vietā” un "</w:t>
            </w:r>
            <w:r w:rsidR="00000000" w:rsidRPr="00000000" w:rsidDel="00000000">
              <w:rPr>
                <w:rtl w:val="0"/>
              </w:rPr>
              <w:t xml:space="preserve">Nenodarīt būtisku kaitējumu</w:t>
            </w:r>
            <w:r w:rsidR="00000000" w:rsidRPr="00000000" w:rsidDel="00000000">
              <w:rPr>
                <w:rtl w:val="0"/>
              </w:rPr>
              <w:t xml:space="preserve">"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nodrošina, lai pasākuma ietvaros plānotais atbalsts un attiecināmās izmaksas nepārklātos ar citiem valsts un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projekta 25.5. apakšpunktu ar nosacījumu, ka finansējuma saņēmējs nodrošina dubultā finansējuma neiestāšanos.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svītrot vārdus "plānotais atbalsts un", nodrošinot vienotas un korektas terminoloģijas 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 nodrošina projekta īstenošanas rezultātā radīto vērtību uzturēšanu ar savlaicīgu uzturēšanas un periodiskās nodilušo konstrukciju atjaunošanas plānošanu un finansējuma piešķiršanu šiem darbiem turpmākos divdesmit gadus pēc projekta īstenošanas;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25.7. apakšpunktu vai anotāciju, norādot, no kādiem līdzekļiem tiks nodrošināta finansējuma piešķiršana projekta īstenošanas rezultātā radīto vērtību uzturēšanai.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25.9. ne retāk kā vienu reizi ceturksnī savā tīmekļvietnē ievieto aktuālo informāciju par projekta īstenošanu un aktualizē to, tiklīdz pieejama aktuālāka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publicitātes vadlīnijas neparedz informācijas publicitātes biežumu, ierosinām apvienot 25.9. un 25.10.apakšpunktus, paredzot informācijas aktualizēšanu tīmekļvietnē tiklīdz pieejama aktuālākā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 izstrādā Iekšējās kontroles sistēmu, ietverot tajā informāciju par interešu konflikta, krāpšanas, korupcijas risku un dubultā finansējuma novēršanas mehānismu.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normu, kas nosaka finansējuma saņēmēja pienākumu projekta īstenošanas laikā nodrošināt interešu konflikta neesamību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un normatīvo aktu publisko iepirkumu jomā prasībām, un parakstīt interešu konflikta neesamības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papildināt arī anotāciju, tostarp anotācijas 5.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projekta īstenošanai nepieciešamo preču un pakalpojumu iegādi veic saskaņā ar normatīvajiem aktiem publisko iepirkumu jomā, īstenojot atklātu, pārredzamu, nediskriminējošu un konkurenci nodrošinošu konkursa procedūru. Atbalstāma ir vides prasību integrācija preču un pakalpojumu iepirkumos, kā arī vides pieejamības un izmantojamības nodrošināšana (zaļais publiskais iepirkums), kur tā ir attiecināma un atbilstoša ieguldījumu specifikai, lai īstenotu sociāli atbildīgu iepirkumu.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noteikumu projektā iekļaut informāciju par inovatīva publiskā iepirkuma nosacījumu piemērošanu, vai arī anotācijā norādīt, kāpēc šādus nosacījumus nav iespējams piemērot.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Saprotamībai, lūdzam pievienot abreviatūras GRT skaidrojumu - garīga rakstura traucējumi.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 sadaļu ar norādi uz Satiksmes ministriju, kura pildīs atbildīgās iestādes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6.1.apakšpunktā iekļaut informāciju par attiecīgās nozares/ jomas pārstāvošu biedrību, nodibinājumu, nevalstisko organizāciju iesaisti MK noteikumu projekta izstrādē. Vēršam uzmanību uz Ministru Prezidenta 2021.gada 7.septembra rezolūcijā Nr. 2021-1.1.1./50-50 noteikto: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23-TA-1368</w:t>
    </w:r>
    <w:r>
      <w:br/>
    </w:r>
    <w:r w:rsidR="00000000" w:rsidRPr="00000000" w:rsidDel="00000000">
      <w:rPr>
        <w:rtl w:val="0"/>
      </w:rPr>
      <w:t xml:space="preserve">Izdrukāts 31.10.2023. 23.02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23-TA-1368</w:t>
    </w:r>
    <w:r>
      <w:br/>
    </w:r>
    <w:r w:rsidR="00000000" w:rsidRPr="00000000" w:rsidDel="00000000">
      <w:rPr>
        <w:rtl w:val="0"/>
      </w:rPr>
      <w:t xml:space="preserve">Izdrukāts 31.10.2023. 23.02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Atzinumi_23-TA-1368.docx</dc:title>
</cp:coreProperties>
</file>

<file path=docProps/custom.xml><?xml version="1.0" encoding="utf-8"?>
<Properties xmlns="http://schemas.openxmlformats.org/officeDocument/2006/custom-properties" xmlns:vt="http://schemas.openxmlformats.org/officeDocument/2006/docPropsVTypes"/>
</file>