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24-TA-902: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jūras transporta dalību Eiropas Savienības emisijas kvotu tirdzniecības sistēmā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Valsts sabiedrība ar ierobežotu atbildību "Latvijas Vides, ģeoloģijas un metroloģijas centrs" (turpmāk – centrs) pieprasījuma verificētājs, pamatojoties uz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apstiprinātajiem agregētajiem emisijas datiem kuģošanas sabiedrības līmenī, emisijas vienību reģistrā apstiprina ievadīto siltumnīcefekta gāzu emisijas apjomu par iepriekšējo monitoringa gadu un centrs uzrauga darbības izpildi atbilstoši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noteikto un likuma "Par piesārņojumu" 32.</w:t>
            </w:r>
            <w:r w:rsidR="00000000" w:rsidRPr="00000000" w:rsidDel="00000000">
              <w:rPr>
                <w:vertAlign w:val="superscript"/>
                <w:rtl w:val="0"/>
              </w:rPr>
              <w:t xml:space="preserve">27</w:t>
            </w:r>
            <w:r w:rsidR="00000000" w:rsidRPr="00000000" w:rsidDel="00000000">
              <w:rPr>
                <w:rtl w:val="0"/>
              </w:rPr>
              <w:t xml:space="preserve"> panta ceturtajā daļā noteiktajam termiņam, izmantojot Eiropas Savienības informācijas sistēmu (</w:t>
            </w:r>
            <w:r w:rsidR="00000000" w:rsidRPr="00000000" w:rsidDel="00000000">
              <w:rPr>
                <w:i w:val="1"/>
                <w:rtl w:val="0"/>
              </w:rPr>
              <w:t xml:space="preserve">Thetis-MRV</w:t>
            </w:r>
            <w:r w:rsidR="00000000" w:rsidRPr="00000000" w:rsidDel="00000000">
              <w:rPr>
                <w:rtl w:val="0"/>
              </w:rPr>
              <w:t xml:space="preserve">) un citus pieejamos informācijas avotus.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norādīt uz "citu pieejamo informācijas avotu izmantošanu", jo minētais pienākums ir nekonkrēts un tā izpilde varētu būt subjektīva. Aicinām svītrot norādi vai sniegt pamatojumu, kādēļ tā nepieciešama un konkretizēt šo pienākumu.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noteikto emisijas kvotu nodošanu kuģošanas sabiedrība veic līdz 2026. gada 2. 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nepieciešams pilnībā un korekti pārņemt Eiropas Savienības direktīvas prasības, aicinām anotāciju papildināt ar skaidrojumu, vai un kā kuģošanas sabiedrības varēs izpildīt projekta 2.1. apakšpunktā un 7. punktā paredzēto pienākumu (proti, vai kuģošanas sabiedrības uzkrāj attiecīgos datus un varēs nodot emisiju kvotas). Ņemot vērā arī likumā paredzēto pilnvarojumu, kā arī likumā ietverto regulējumu, aicinām izvērtēt šādas normas ietveršanu šajā projektā. Ja nepieciešams, aicinām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Atbilstība starp Somijas-Zviedrijas ledus klasēm (Baltijas ledus klasēm) un citu kuģu klasifikācijas sabiedrību ledus klasēm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projekta 1. un 2. pielikumu, ņemot vērā, ka normatīvajos aktos lieto valsts valodu.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24-TA-902</w:t>
    </w:r>
    <w:r>
      <w:br/>
    </w:r>
    <w:r w:rsidR="00000000" w:rsidRPr="00000000" w:rsidDel="00000000">
      <w:rPr>
        <w:rtl w:val="0"/>
      </w:rPr>
      <w:t xml:space="preserve">Izdrukāts 06.01.2026. 17.27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24-TA-902</w:t>
    </w:r>
    <w:r>
      <w:br/>
    </w:r>
    <w:r w:rsidR="00000000" w:rsidRPr="00000000" w:rsidDel="00000000">
      <w:rPr>
        <w:rtl w:val="0"/>
      </w:rPr>
      <w:t xml:space="preserve">Izdrukāts 06.01.2026. 17.27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Atzinumi_24-TA-902.docx</dc:title>
</cp:coreProperties>
</file>

<file path=docProps/custom.xml><?xml version="1.0" encoding="utf-8"?>
<Properties xmlns="http://schemas.openxmlformats.org/officeDocument/2006/custom-properties" xmlns:vt="http://schemas.openxmlformats.org/officeDocument/2006/docPropsVTypes"/>
</file>