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25-TA-1678: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Pārtikas preču cenu iesniegšanas noteikumi cenu izsekojamībai un monitoringam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Centrālā statistikas pārvalde izsniedz Patērētāju tiesību aizsardzības likuma 19.</w:t>
            </w:r>
            <w:r w:rsidR="00000000" w:rsidRPr="00000000" w:rsidDel="00000000">
              <w:rPr>
                <w:vertAlign w:val="superscript"/>
                <w:rtl w:val="0"/>
              </w:rPr>
              <w:t xml:space="preserve">2</w:t>
            </w:r>
            <w:r w:rsidR="00000000" w:rsidRPr="00000000" w:rsidDel="00000000">
              <w:rPr>
                <w:rtl w:val="0"/>
              </w:rPr>
              <w:t xml:space="preserve"> panta pirmās daļas 2.punktā noteikto informāciju Ekonomikas ministrijai, Patērētāju tiesību aizsardzības centram un Konkurences padomei atbilstoši pieprasījumam, kurā norādīts datu pieprasījuma pamatojums, apjoms un periods. Centrālā statistikas pārvalde 30 (trīsdesmit) dienas pēc informācijas izsniegšanas informē pārtikas preču mazumtirgotāju par iestādēm izsniegto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 Konceptuāli KP piekrīt esošajai redakcijai. Vienlaikus KP joprojām aicina izvērtēt tāda regulējuma risinājumu, kas noteiktu, ka pēc mazumtirgotāja pieprasījuma tam var tikt sniegta vispārīga informācija, ka kāda (neidentificēta) iestāde ir pieprasījusi tā iesniegtos datus (bez skaidrojuma uz kāda pamata, kādam mērķim, par kādu laika periodu vai precēm). KP ieskatā pastāv risks, ka mazumtirgotāju pārlieku detalizēta informēšana par konkrētu kompetento iestāžu interesi saistībā ar CSP rīcībā esošajiem elektronisko darījumu (transakciju) datiem var potenciāli apgrūtināt šo iestāžu funkciju netraucētu izpildi. Jo īpaši tas attiecas uz situācijām, kad tiek veikta izpēte par iespējamiem pārkāpumiem. Ja mazumtirgotājiem tiktu sniegta informācija par to, kādu tieši informāciju konkrētā iestāde (piemēram, Konkurences padome) ir pieprasījusi, un cik bieži šādi pieprasījumi tiek veikti, pastāv iespēja, ka tie varētu netieši izsecināt izpētes lietas tvērumu. Tas savukārt ļautu uzņēmumiem savlaicīgi pielāgoties un sagatavoties iespējamām procesuālajām darbībām, kā arī radītu risku, ka tiek slēpti vai iznīcināti pierādījumi.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Eglons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11.punktā minēto informāciju izsniedz un izmanto ievērojot iestāžu darbu regulējošajos normatīvajos aktos noteikto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aicina svītrot šo punktu, jo tas ir deklaratīvs un bez praktiskas nepieciešamības, tā kā jebkuras iestādes veiktās funkcijas (tostarp, informācijas pieprasīšanu un izsniegšanu) nosaka šo iestāžu darbību regulējošie speciālie normatīvie akti. Ņemot vērā to, ka šis Ministru kabineta noteikumu projekts nesatur speciālu informācijas izsniegšanas vai izmantošanas kārtību, tad tā ir lieka, jo satur tikai atsauci uz tāpat spēkā esošiem citiem speciālajiem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Eglons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25-TA-1678</w:t>
    </w:r>
    <w:r>
      <w:br/>
    </w:r>
    <w:r w:rsidR="00000000" w:rsidRPr="00000000" w:rsidDel="00000000">
      <w:rPr>
        <w:rtl w:val="0"/>
      </w:rPr>
      <w:t xml:space="preserve">Izdrukāts 31.07.2025. 14.13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25-TA-1678</w:t>
    </w:r>
    <w:r>
      <w:br/>
    </w:r>
    <w:r w:rsidR="00000000" w:rsidRPr="00000000" w:rsidDel="00000000">
      <w:rPr>
        <w:rtl w:val="0"/>
      </w:rPr>
      <w:t xml:space="preserve">Izdrukāts 31.07.2025. 14.13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Atzinumi_25-TA-1678.docx</dc:title>
</cp:coreProperties>
</file>

<file path=docProps/custom.xml><?xml version="1.0" encoding="utf-8"?>
<Properties xmlns="http://schemas.openxmlformats.org/officeDocument/2006/custom-properties" xmlns:vt="http://schemas.openxmlformats.org/officeDocument/2006/docPropsVTypes"/>
</file>