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(LUA atzinums_27.11.2023.)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Pasākuma ietvaros līdz 2029. gadam sasniedzams šāds nacionālais rādītājs - atbalstīto komersantu, kas komercializējuši savus projektus, darba spēka produktivitātes pieaugums –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12.</w:t>
            </w:r>
            <w:r w:rsidR="00000000" w:rsidRPr="00000000" w:rsidDel="00000000">
              <w:rPr>
                <w:vertAlign w:val="superscript"/>
                <w:rtl w:val="0"/>
              </w:rPr>
              <w:t xml:space="preserve">1</w:t>
            </w:r>
            <w:r w:rsidR="00000000" w:rsidRPr="00000000" w:rsidDel="00000000">
              <w:rPr>
                <w:rtl w:val="0"/>
              </w:rPr>
              <w:t xml:space="preserve"> punkta norma nonāk/var nonākt savstarpējā pretrunā ar šo MKN 77.</w:t>
            </w:r>
            <w:r w:rsidR="00000000" w:rsidRPr="00000000" w:rsidDel="00000000">
              <w:rPr>
                <w:vertAlign w:val="superscript"/>
                <w:rtl w:val="0"/>
              </w:rPr>
              <w:t xml:space="preserve">1</w:t>
            </w:r>
            <w:r w:rsidR="00000000" w:rsidRPr="00000000" w:rsidDel="00000000">
              <w:rPr>
                <w:rtl w:val="0"/>
              </w:rPr>
              <w:t xml:space="preserve"> punktu, kas nosaka,</w:t>
            </w:r>
            <w:r w:rsidR="00000000" w:rsidRPr="00000000" w:rsidDel="00000000">
              <w:rPr>
                <w:i w:val="1"/>
                <w:rtl w:val="0"/>
              </w:rPr>
              <w:t xml:space="preserve"> ka "gala labuma guvējs pie projekta pieteikuma iesniedz apliecinājumu, ka, saņemot atbalstu, tiks sasniegts darba spēka produktivitātes pieaugums gala labuma guvēja līmenī, ja tiek komercializēts projekts, v</w:t>
            </w:r>
            <w:r w:rsidR="00000000" w:rsidRPr="00000000" w:rsidDel="00000000">
              <w:rPr>
                <w:i w:val="1"/>
                <w:u w:val="single"/>
                <w:rtl w:val="0"/>
              </w:rPr>
              <w:t xml:space="preserve">ismaz 5 % apmērā piecu gadu laikā pēc noslēguma pārskata iesniegšanas"</w:t>
            </w:r>
            <w:r w:rsidR="00000000" w:rsidRPr="00000000" w:rsidDel="00000000">
              <w:rPr>
                <w:rtl w:val="0"/>
              </w:rPr>
              <w:t xml:space="preserve">. Ja pasākuma ietvaros rādītājs jāsasniedz līdz 2029. gadam, tad ļoti iespējams, ka, ja gala labuma guvēju līmenī to sasniedzot 5 gadus vēl pēc noslēguma pārskata iesniegšanas,  ir risks nesasniegt 12.</w:t>
            </w:r>
            <w:r w:rsidR="00000000" w:rsidRPr="00000000" w:rsidDel="00000000">
              <w:rPr>
                <w:vertAlign w:val="superscript"/>
                <w:rtl w:val="0"/>
              </w:rPr>
              <w:t xml:space="preserve">1</w:t>
            </w:r>
            <w:r w:rsidR="00000000" w:rsidRPr="00000000" w:rsidDel="00000000">
              <w:rPr>
                <w:rtl w:val="0"/>
              </w:rPr>
              <w:t xml:space="preserve"> punktā noteikto rādītāju augstāk noteiktajā termiņā. Piemēram, atbalstītie komersanti 12.</w:t>
            </w:r>
            <w:r w:rsidR="00000000" w:rsidRPr="00000000" w:rsidDel="00000000">
              <w:rPr>
                <w:vertAlign w:val="superscript"/>
                <w:rtl w:val="0"/>
              </w:rPr>
              <w:t xml:space="preserve">1</w:t>
            </w:r>
            <w:r w:rsidR="00000000" w:rsidRPr="00000000" w:rsidDel="00000000">
              <w:rPr>
                <w:rtl w:val="0"/>
              </w:rPr>
              <w:t xml:space="preserve"> punkta nosacījumu uz 2029.gadu varēs sasniegt tikai tādā gadījumā, ja to projektu iesniegumi tiktu apstiprināti jau 2024. gadā un pabeigti 2025.gadā, savukārt, pārējiem komersantiem, kas tiks atbalstīti vēlāk, pieņemot, ka vaučeru izsniegšanai tiktu organizēti vairāk kā viens uzsaukums, var nepietikt laika, lai līdz 2029.gadam sasniegtu noteikto nacionālo rādītāju.Līdz ar to aicinām EM  šo aspektu atkārtoti  izvērtēt, sniegt skaidrojumu par rādītāju sasniegšanu, vai tā netiks apdraudēta un šo situāciju, kā arī gala labuma guvēju sagaidāmo rīcību, izskaidrot un aprakstīt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EM uzmanību, ka gala labuma guvēja apliecinājums pirms līguma noslēgšanas un, kā anotācijā norādīts, finansējuma saņēmēja  līgumā ar gala labuma guvēju iekļautais nosacījums, ka gala labuma guvējs piecu gadu laikā pierāda darba spēka produktivitātes pieaugumu vismaz par 5%, ja gala labuma guvējs ir komercializējis savu projektu,  rada arī līgumiskas saistības, un tas tiks uzskatīts par līguma neizpildi, ja netiks ievērotas līguma normas. Aicinām EM izvērtēt un anotācijā sniegt informāciju, ka ir paredzētas procedūras un kā tiks nodrošināta neatbilstoši veikto izdevumu atgūšana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Viena pieteikuma ietvaros atbalsts komersantam iepirkuma līguma priekšmeta īstenošanai ir pieejams 50 % apmērā no līgumcenas, kas noteikta noslēgtajā līgumā par iepirkuma līguma priekšmetu, bet ne vairāk kā 50 000 </w:t>
            </w:r>
            <w:r w:rsidR="00000000" w:rsidRPr="00000000" w:rsidDel="00000000">
              <w:rPr>
                <w:i w:val="1"/>
                <w:rtl w:val="0"/>
              </w:rPr>
              <w:t xml:space="preserve">euro</w:t>
            </w:r>
            <w:r w:rsidR="00000000" w:rsidRPr="00000000" w:rsidDel="00000000">
              <w:rPr>
                <w:rtl w:val="0"/>
              </w:rPr>
              <w:t xml:space="preserve">. Vienlaikus tiek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piemērojot atbalstu saskaņā ar Eiropas Komisijas 2014. gada 17. jūnija Regulu (ES) Nr. 651/2014, ar ko noteiktas atbalsta kategorijas atzīst par saderīgām ar iekšējo tirgu, piemērojot Līguma 107. un 108. pantu (turpmāk – Komisijas regula Nr. 651/2014), atbalsta apjoms var atšķirties no 59.punktā minētā, lūdzam MK noteikumu 59.punkta ievada daļā ietvert atsauci uz  Eiropas Komisijas 2023. gada 13. decembra Regulu (ES) Nr. 2023/2831 par Līguma par Eiropas Savienības darbību 107. un 108. panta piemērošanu de minimis atbalstam, līdzīgi kā tas ir ietverts šobrīd spēkā esošajā MK noteikumu 59.punktā.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Finansējuma saņēmējs nepiešķir gala labuma guvējam atbalstu, ja de minimis atbalsts ir saistīts ar kādu no Komisijas regulas Nr. 2023/2831 1. panta 1. punktā noteiktajām nozarēm un darbībām vai ja atbalsts ir saistīts ar šo noteikumu </w:t>
            </w:r>
            <w:r w:rsidR="00000000" w:rsidRPr="00000000" w:rsidDel="00000000">
              <w:rPr>
                <w:rtl w:val="0"/>
              </w:rPr>
              <w:t xml:space="preserve">108.</w:t>
            </w:r>
            <w:r w:rsidR="00000000" w:rsidRPr="00000000" w:rsidDel="00000000">
              <w:rPr>
                <w:rtl w:val="0"/>
              </w:rPr>
              <w:t xml:space="preserve"> punktā minētajiem nosacījumiem, un Eiropas Parlamenta un Padomes 2021. gada 24. jūnija Regulas (ES) Nr. 2021/1058 par Eiropas Reģionālās attīstības fondu un Kohēzijas fondu 7. panta 1. punktā noteiktajām nozarēm un darbībām un kādu no šo noteikumu </w:t>
            </w:r>
            <w:r w:rsidR="00000000" w:rsidRPr="00000000" w:rsidDel="00000000">
              <w:rPr>
                <w:rtl w:val="0"/>
              </w:rPr>
              <w:t xml:space="preserve">2.</w:t>
            </w:r>
            <w:r w:rsidR="00000000" w:rsidRPr="00000000" w:rsidDel="00000000">
              <w:rPr>
                <w:rtl w:val="0"/>
              </w:rPr>
              <w:t xml:space="preserve">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77.</w:t>
            </w:r>
            <w:r w:rsidR="00000000" w:rsidRPr="00000000" w:rsidDel="00000000">
              <w:rPr>
                <w:vertAlign w:val="superscript"/>
                <w:rtl w:val="0"/>
              </w:rPr>
              <w:t xml:space="preserve">3</w:t>
            </w:r>
            <w:r w:rsidR="00000000" w:rsidRPr="00000000" w:rsidDel="00000000">
              <w:rPr>
                <w:rtl w:val="0"/>
              </w:rPr>
              <w:t xml:space="preserve"> punktā ietvertos nosacījumus precizēt, ievērojot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Ierobežojumus, kas izriet no Eiropas Parlamenta un Padomes 2021. gada 24. jūnija Regulas (ES) Nr. 2021/1058 par Eiropas Reģionālās attīstības fondu un Kohēzijas fondu 7. panta 1. punktā noteiktajām nozarēm un darbībām lūdzam attiecināt uz visu atbalsta pasākumu, neatkarīgi no piemērojamā komercdarbības atbalsta kontroles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par nozaru un darbību ierobežojumiem, kas izriet no Komisijas regulas Nr. 2023/2831 1. panta 1. punkta, lūdzam ietvert MK noteikumu VII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to, ka Komisijas regula Nr. 2023/2831 un Komisijas regula Nr. 651/2014 ir atšķirīgi komercdarbības atbalsta sniegšanas instrumenti, Komisijas regulas Nr. 651/2014 ierobežojumi ir jāņem vērā tikai tad, ja atbalstu paredzēts sniegt ar šo regulu, attiecīgi sasaiste 77.</w:t>
            </w:r>
            <w:r w:rsidR="00000000" w:rsidRPr="00000000" w:rsidDel="00000000">
              <w:rPr>
                <w:vertAlign w:val="superscript"/>
                <w:rtl w:val="0"/>
              </w:rPr>
              <w:t xml:space="preserve">3 </w:t>
            </w:r>
            <w:r w:rsidR="00000000" w:rsidRPr="00000000" w:rsidDel="00000000">
              <w:rPr>
                <w:rtl w:val="0"/>
              </w:rPr>
              <w:t xml:space="preserve">punktā ar MK noteikumu 108.punktu nav korekta un to lūdzam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83.punktu, nodrošinot tā korektu atbilstību Komisijas regulas Nr. 2023/2831 3. panta 2. punkta nosacījumiem, piemēram, izsakot to šādā redakcijā: "</w:t>
            </w:r>
            <w:r w:rsidR="00000000" w:rsidRPr="00000000" w:rsidDel="00000000">
              <w:rPr>
                <w:i w:val="1"/>
                <w:rtl w:val="0"/>
              </w:rPr>
              <w:t xml:space="preserve">Finansējuma saņēmējs pirms de minimis atbalsta piešķiršanas gala labuma guvējam pārbauda, vai atbalsta apmērs nevienā trīs gadu periodā nepārsniedz Komisijas regulas Nr. 2023/2831 3. panta 2. punktā noteikto maksimālo de minimis atbalsta apmēru. De minimis atbalsta apmērs tiek vērtēts viena vienota uzņēmuma līmenī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Atbilstoši Komisijas regulas Nr. </w:t>
            </w:r>
            <w:r w:rsidR="00000000" w:rsidRPr="00000000" w:rsidDel="00000000">
              <w:rPr>
                <w:rtl w:val="0"/>
              </w:rPr>
              <w:t xml:space="preserve">2023/2831</w:t>
            </w:r>
            <w:r w:rsidR="00000000" w:rsidRPr="00000000" w:rsidDel="00000000">
              <w:rPr>
                <w:rtl w:val="0"/>
              </w:rPr>
              <w:t xml:space="preserve"> 6. pantam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nosacījums par dokumentu glabāšanas termiņu ir ietverts Komisijas regulas Nr. 2023/2831 6. panta 3.punktā, lūdzam 87.punktu precizēt, norādot, ka informācijas pieejamību nodrošina atbilstoši Komisijas regulas Nr. 2023/2831 6. panta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gala labuma guvējs vienlaikus darbojas vienā vai vairākās neatbalstāmajās nozarēs un veic neatbalstāmās darbības vai citas darbības, kas ietilpst Komisijas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Komisijas regulas Nr. </w:t>
            </w:r>
            <w:r w:rsidR="00000000" w:rsidRPr="00000000" w:rsidDel="00000000">
              <w:rPr>
                <w:rtl w:val="0"/>
              </w:rPr>
              <w:t xml:space="preserve">2023/2831</w:t>
            </w:r>
            <w:r w:rsidR="00000000" w:rsidRPr="00000000" w:rsidDel="00000000">
              <w:rPr>
                <w:rtl w:val="0"/>
              </w:rPr>
              <w:t xml:space="preserve">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nozaru darbību vai izmaksu nodalīšana saskaņā ar Komisijas regulas Nr. 2023/2831 1. panta 2. punktu attiecas tikai specifiski uz darbībām, kas minētas  Komisijas regulā Nr. 2023/2831, lūdzam precizēt 90. punktu, to izsakot, piemēram, šādā redakcijā: "</w:t>
            </w:r>
            <w:r w:rsidR="00000000" w:rsidRPr="00000000" w:rsidDel="00000000">
              <w:rPr>
                <w:i w:val="1"/>
                <w:rtl w:val="0"/>
              </w:rPr>
              <w:t xml:space="preserve">Ja gala labuma guvējs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de minimis atbalsta, ko piešķir saskaņā ar Komisijas regulu Nr. 2023/2831.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Maksimālā atbalsta intensitāte atbilstoši Komisijas regulas Nr. </w:t>
            </w:r>
            <w:r w:rsidR="00000000" w:rsidRPr="00000000" w:rsidDel="00000000">
              <w:rPr>
                <w:rtl w:val="0"/>
              </w:rPr>
              <w:t xml:space="preserve">651/2014</w:t>
            </w:r>
            <w:r w:rsidR="00000000" w:rsidRPr="00000000" w:rsidDel="00000000">
              <w:rPr>
                <w:rtl w:val="0"/>
              </w:rPr>
              <w:t xml:space="preserve"> 28. panta 3. punktam šo noteikumu </w:t>
            </w:r>
            <w:r w:rsidR="00000000" w:rsidRPr="00000000" w:rsidDel="00000000">
              <w:rPr>
                <w:rtl w:val="0"/>
              </w:rPr>
              <w:t xml:space="preserve">36.5.</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minētajām darbībām sīkajiem (mikro), mazajiem, vidējiem komersantiem ir 50 % un šo noteikumu </w:t>
            </w:r>
            <w:r w:rsidR="00000000" w:rsidRPr="00000000" w:rsidDel="00000000">
              <w:rPr>
                <w:rtl w:val="0"/>
              </w:rPr>
              <w:t xml:space="preserve">57.2.</w:t>
            </w:r>
            <w:r w:rsidR="00000000" w:rsidRPr="00000000" w:rsidDel="00000000">
              <w:rPr>
                <w:rtl w:val="0"/>
              </w:rPr>
              <w:t xml:space="preserve"> apakšpunktā minētajām darbībām lielajiem komersantiem –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 651/2014 28. pants paredz, ka inovāciju atbalstu var piešķirt tikai maziem un vidējiem uzņēmumiem, lai nodrošinātu nepārprotamu izpratni par lielajiem komersantiem piemērojamo komercdarbības atbalsta regulējumu, lūdzam MK noteikumu 94. punktā norādīt, ka šo noteikumu 57.2. apakšpunktā minētajām darbībām atbalsts lielajiem komersantiem tiks piešķirts tikai saskaņā ar Komisijas regulu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sabiedrībai pilnīgu informāciju, aicinām papildināt anotāciju ar īsu skaidrojumu par šo noteikumu 2.pielikumā noteikto nozaru un darbību, kurām nav paredzēts atbalsts, iekļaušanas pamatojumu, skaidrojot no kādiem apsvērumiem izriet, ka šajā pielikumā noteiktās nozares un darbības nav atbalstāmas 1.2.1.4. pasākuma "Atbalsts tehnoloģiju pārneses sistēmas pilnveidošanai" ietvaros. Piemēram, 2. pielikumā minētās nozares neatbilst atbalsta tvērumam (atbalsts pētniecības ideju komercializācijai) pasākuma ietvaros pēc būtības. Galvenais inovāciju vaučera mērķis ir veidot saikni starp MVU un publiskajām pētniecības institūcijām, kas, pirmkārt, sekmētu zināšanu tiešu pārnesi un, otrkārt, kļūtu par katalizatoru ilgtermiņa, padziļinātākas sadarbības veidošanai starp abām pusēm. Inovāciju vaučeri ir stimulējošs atbalsta instruments, ar kura palīdzību nodrošina jaunu vai būtiski uzlabotu produktu vai tehnoloģiju attīstību, ciešā sadarbībā ar zinātniskajām institūcijām. Komercializācijas projektu sagaidāmais rezultāts ir komercializēta tehnoloģija (prototipu izstrāde, patentu piešķiršana, licences līgumu slēgšanu un ieņēmumu gūšana). Atbalsta instrumenta ieviešanas modelis plānots atbilstoši iepriekšējā perioda ietvaros īstenotam pasākumam “Atbalsts tehnoloģiju pārneses sistēmas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līdz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iespējas, lūdzam 12.1., 12.2. un 12.</w:t>
            </w:r>
            <w:r w:rsidR="00000000" w:rsidRPr="00000000" w:rsidDel="00000000">
              <w:rPr>
                <w:vertAlign w:val="superscript"/>
                <w:rtl w:val="0"/>
              </w:rPr>
              <w:t xml:space="preserve">1</w:t>
            </w:r>
            <w:r w:rsidR="00000000" w:rsidRPr="00000000" w:rsidDel="00000000">
              <w:rPr>
                <w:rtl w:val="0"/>
              </w:rPr>
              <w:t xml:space="preserve"> apakšpunktos norādīt, ka rādītāju sasniegšana nodrošināma līdz konkrētā 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Gala labuma guvējs pie projekta pieteikuma iesniedz apliecinājumu, ka, saņemot atbalstu, tiks sasniegts darba spēka produktivitātes pieaugums gala labuma guvēja līmenī, ja tiek komercializēts projekts, vismaz 5 % apmērā piecu gadu laikā pēc noslēguma pārskata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šajā punktā ir minēts "noslēguma pārskats", savukārt  anotācijā  minēta "projekta noslēguma atskaite", pēc kuras iesniegšanas iestājas piecu gadu periods rādītaja sasniegšanai. Aicinām EM pārskatīt MKN projektu un anotācijas saturu, novienādojot visur terminu lietojumu (pārskats vai atskaite) un kurā brīdī tā būs, lai ir skaidra noteikumu projektā noteiktā piemērojamā norma.  Tāpat nav skaidrs, vai šī atskaite sakritīs ar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minētais pasākums ir brīvas piekļuves pasākums, kas veicina tā dalībnieku (gala labuma guvēju) vispārējo zināšanu pilnveidi, nav konstatējams atbalsts saimnieciskās darbības veikšanai, dalība tajā nekvalificējas kā komercdarbības atbalsts un šo noteikumu </w:t>
            </w:r>
            <w:r w:rsidR="00000000" w:rsidRPr="00000000" w:rsidDel="00000000">
              <w:rPr>
                <w:rtl w:val="0"/>
              </w:rPr>
              <w:t xml:space="preserve">78.</w:t>
            </w:r>
            <w:r w:rsidR="00000000" w:rsidRPr="00000000" w:rsidDel="00000000">
              <w:rPr>
                <w:rtl w:val="0"/>
              </w:rPr>
              <w:t xml:space="preserve"> un </w:t>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punktā minētais komercdarbības atbalsta kontroles regulējums gala labuma guvējiem netiek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izteikto iebildumu pie 77. </w:t>
            </w:r>
            <w:r w:rsidR="00000000" w:rsidRPr="00000000" w:rsidDel="00000000">
              <w:rPr>
                <w:vertAlign w:val="superscript"/>
                <w:rtl w:val="0"/>
              </w:rPr>
              <w:t xml:space="preserve">3</w:t>
            </w:r>
            <w:r w:rsidR="00000000" w:rsidRPr="00000000" w:rsidDel="00000000">
              <w:rPr>
                <w:rtl w:val="0"/>
              </w:rPr>
              <w:t xml:space="preserve"> punkta, lūdzam saglabāt 104.punktā atsauci uz MKN 88.punktu, kurā saglabājama informācija par neatbalstāmajām darbībām un nozarēm saskaņā ar Komisijas regulas Nr. 2023/2831 1.panta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08.01.2024.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08.01.2024.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