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25-TA-1665: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w:t>
            </w:r>
            <w:r w:rsidR="00000000" w:rsidRPr="00000000" w:rsidDel="00000000">
              <w:rPr>
                <w:rtl w:val="0"/>
              </w:rPr>
              <w:t xml:space="preserve">. (1) Pārtikas drošības, dzīvnieku veselības un vides zinātniskais institūts "BIOR" pilda regulas 2019/6 29. panta 1. punktā, 123. panta 6. punkta "b" apakšpunktā un 128. panta 3. punktā minētās oficiālās veterināro zāļu kontroles laboratorijas uzdevumus un veic riska zinātnisko novērtējumu veterināro zāļu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Pārtikas drošības, dzīvnieku veselības un vides zinātniskā institūta "BIOR" valsts pārvaldes uzdevumu ietvaros veikto darbību cenrādi par veterināro zāļu kvalitātes kontroli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kas ir riska zinātniskais novērtējums veterināro zāļu jomā, kuru paredzēts uzdot veikt Pārtikas drošības, dzīvnieku veselības un vides zinātniskajam institūtam "BIOR" ar likumprojekta 3. pantā ietverto Farmācijas likuma 12.</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Veterinārā e-veselības informācijas sistēmā uzkrāj un apstrādā datus par veterināro zāļu izplatīšanu, veterināro zāļu un cilvēkiem paredzēto zāļu lietošanu dzīvniekiem, veterinārārstu sertifikāciju un veterinārajām receptēm, izpildot šajā likumā, Veterinārmedicīnas likumā un regulā 2019/6 noteiktās prasības informācijas reģistrēšanai, apkopošanai, uzglabāšanai, ziņošanai un statistikas veidošanai, lai nodrošinātu riska pamatotu veterināro zāļu aprites uzraudzību, drošu dzīvnieku izcelsmes pārtiku, samazinātu antimikrobiālās rezistences attīstības riskus un atvieglotu veterinārmedicīnisko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sistēmā uzkrāj, apstrādā un atjauno informāciju par Latvijā atļautām veterinārajām zālēm un citu ar veterināro zāļu apriti saistītu informāciju,  izpildot šajā likumā un regulā 2019/6 noteiktās prasības veterināro zāļu apritei, lai nodrošinātu veterināro zāļu aprites uzraudzību un izsekojamību, sistēmas digitalizāciju un datu apmaiņu ar Eiropas Savienības veterināro zāļu datubāzi, Eiropas Zāļu aģentūras klasifikatoru datu bāzi “Vielas, produkti, organizācijas un atsauces”, Eiropas Savienības farmakovigilances datubāzi, Eiropas Savienības veterināro zāļu un aktīvo vielu ražošanas un vairumtirdzniecības datubāzi un citām Eiropas Savienības tieši piemērojamos aktos noteiktām datu 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un Veterināro zāļu reģistra informācijas sistēma ir savstarpēji savietojamas, un tajās izveidotajiem dokumentiem ir juridisks spēks arī tad, ja tie nav parakstīti ar drošu elektronisko parakstu ar laika zīmogu vai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un otrajā daļā minētajās informācijas sistēmās apstrādā fizisko personu datus, kas nepieciešami, lai izpildītu veterināro zāļu apriti un veterinārmedicīnu reglamentējošajos normatīvajos aktos un Eiropas Savienības tieši piemērojamos normatīvajos aktos noteiktās prasības veterināro zāļu aprites uzraudzībai un informācijas reģistrēšanai, apkopošanai, ziņošanai un statistikas veidošanai par veterināro zāļu apriti un cilvēkiem paredzēto zāļu lietošanu dzīvniekiem, kā arī veterinārārstu sertifikācijai un veterinārmedicīnsikās prakses nodrošināšanai. Informācijas sistēmās atbilstoši fizisko personu datu apstrādes nolūkam apstrādā fizisko personu identifikācijas datus, datus par to profesionālo darbību un pilnvarotajām personām, kā arī identifikācijas datus par tiem piederošiem dzīvniekiem. Fizisko personu datus apstrādā saskaņā ar Fizisko personu datu aizsardzības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likumprojektu, atsaucoties uz Eiropas Savienības tieši piemērojamiem </w:t>
            </w:r>
            <w:r w:rsidR="00000000" w:rsidRPr="00000000" w:rsidDel="00000000">
              <w:rPr>
                <w:u w:val="single"/>
                <w:rtl w:val="0"/>
              </w:rPr>
              <w:t xml:space="preserve">normatīvajiem</w:t>
            </w:r>
            <w:r w:rsidR="00000000" w:rsidRPr="00000000" w:rsidDel="00000000">
              <w:rPr>
                <w:rtl w:val="0"/>
              </w:rPr>
              <w:t xml:space="preserve"> aktiem, papildus arī norādot to jomu atbilstoši Ministru kabineta 2009. gada 3. februāra noteikumu Nr. 108 "Normatīvo aktu projektu sagatavošanas noteikumi" 137.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Veterinārā e-veselības informācijas sistēmā uzkrāj un apstrādā datus par veterināro zāļu izplatīšanu, veterināro zāļu un cilvēkiem paredzēto zāļu lietošanu dzīvniekiem, veterinārārstu sertifikāciju un veterinārajām receptēm, izpildot šajā likumā, Veterinārmedicīnas likumā un regulā 2019/6 noteiktās prasības informācijas reģistrēšanai, apkopošanai, uzglabāšanai, ziņošanai un statistikas veidošanai, lai nodrošinātu riska pamatotu veterināro zāļu aprites uzraudzību, drošu dzīvnieku izcelsmes pārtiku, samazinātu antimikrobiālās rezistences attīstības riskus un atvieglotu veterinārmedicīnisko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sistēmā uzkrāj, apstrādā un atjauno informāciju par Latvijā atļautām veterinārajām zālēm un citu ar veterināro zāļu apriti saistītu informāciju,  izpildot šajā likumā un regulā 2019/6 noteiktās prasības veterināro zāļu apritei, lai nodrošinātu veterināro zāļu aprites uzraudzību un izsekojamību, sistēmas digitalizāciju un datu apmaiņu ar Eiropas Savienības veterināro zāļu datubāzi, Eiropas Zāļu aģentūras klasifikatoru datu bāzi “Vielas, produkti, organizācijas un atsauces”, Eiropas Savienības farmakovigilances datubāzi, Eiropas Savienības veterināro zāļu un aktīvo vielu ražošanas un vairumtirdzniecības datubāzi un citām Eiropas Savienības tieši piemērojamos aktos noteiktām datu 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un Veterināro zāļu reģistra informācijas sistēma ir savstarpēji savietojamas, un tajās izveidotajiem dokumentiem ir juridisks spēks arī tad, ja tie nav parakstīti ar drošu elektronisko parakstu ar laika zīmogu vai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un otrajā daļā minētajās informācijas sistēmās apstrādā fizisko personu datus, kas nepieciešami, lai izpildītu veterināro zāļu apriti un veterinārmedicīnu reglamentējošajos normatīvajos aktos un Eiropas Savienības tieši piemērojamos normatīvajos aktos noteiktās prasības veterināro zāļu aprites uzraudzībai un informācijas reģistrēšanai, apkopošanai, ziņošanai un statistikas veidošanai par veterināro zāļu apriti un cilvēkiem paredzēto zāļu lietošanu dzīvniekiem, kā arī veterinārārstu sertifikācijai un veterinārmedicīnsikās prakses nodrošināšanai. Informācijas sistēmās atbilstoši fizisko personu datu apstrādes nolūkam apstrādā fizisko personu identifikācijas datus, datus par to profesionālo darbību un pilnvarotajām personām, kā arī identifikācijas datus par tiem piederošiem dzīvniekiem. Fizisko personu datus apstrādā saskaņā ar Fizisko personu datu aizsardzības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ceturtās daļas pēdējo teikumu, kas paredz fizisko personu datu apstrādi veikt saskaņā ar Fizisko personu datu aizsardzības likuma prasībām. Paskaidrojam, ka normatīvā akta projektā nav iekļaujamas normas, kas ir deklaratīvas, proti, pārzinim ir saistošas personas datu aizsardzības jomu regulējošo normatīvo aktu prasības, tajā skaitā Fizisko personu datu apstrādes likuma prasības, neatkarīgi no tā vai šāds pienākums -  ievērot normatīvo aktu prasības, tiek noteikts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25-TA-1665</w:t>
    </w:r>
    <w:r>
      <w:br/>
    </w:r>
    <w:r w:rsidR="00000000" w:rsidRPr="00000000" w:rsidDel="00000000">
      <w:rPr>
        <w:rtl w:val="0"/>
      </w:rPr>
      <w:t xml:space="preserve">Izdrukāts 30.10.2025.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25-TA-1665</w:t>
    </w:r>
    <w:r>
      <w:br/>
    </w:r>
    <w:r w:rsidR="00000000" w:rsidRPr="00000000" w:rsidDel="00000000">
      <w:rPr>
        <w:rtl w:val="0"/>
      </w:rPr>
      <w:t xml:space="preserve">Izdrukāts 30.10.2025.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Atzinumi_25-TA-1665.docx</dc:title>
</cp:coreProperties>
</file>

<file path=docProps/custom.xml><?xml version="1.0" encoding="utf-8"?>
<Properties xmlns="http://schemas.openxmlformats.org/officeDocument/2006/custom-properties" xmlns:vt="http://schemas.openxmlformats.org/officeDocument/2006/docPropsVTypes"/>
</file>