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Atbalstu maksas samazinājumam par patērēto dabasgāzi piemēro, ja Latvijas apgabala attiecīgā dabasgāzes tirdzniecības perioda vidējā dabasgāzes biržas Title Transfer Facility (TTF) nākotnes līguma cena uz publicēšanas mēneša pirmo darba dienu secīgi trīs mēnešus pārsniedz 91 euro par megavatstundu.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Faktiskās dabasgāzes cenas būtiski atšķiras laikā, kā arī ir atšķirīgas cenā no biržas Title Transfer Facility (TTF) cenām. Atbaslta maksājuma piemērošanai jārod risinājums vērtēt esošo dabasgāzes tirgotāju cenu.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noteikt pakāpenisku atbalsta samazinājumu līdz 2030, lai motivētu uzstādīt ilgtspējīgākus risinājumus, kas nav fosilie kurināmie.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Atbalstu maksas samazinājumam par patērēto centralizēto siltumenerģiju piemēro, ja centralizētās siltumapgādes operatoriem vismaz piecās no desmit statistiski lielākajām pilsētām saskaņā ar likumā “Par sabiedrisko pakalpojumu regulatoriem” noteikto kārtību apstiprinātie apstiprinātie ražošanas tarifi secīgi trīs mēnešus pārsniedz 111 euro par megavatstundu.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siltumenerģijas tarifu atšķirības start pilsētām ir būtiskas, jārod risinājums piešķirt atbalstu vērtējot katru pašvaldības centralizētās siltumapgādes sistēmu, ja pārsniegts noteiktā robežā 111 euro/MWh.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Atbalstu izmaksām par patērēto sašķidrināto naftas gāzi un dīzeļdegvielu piešķir, ja Latvijas apgabala attiecīgā dabasgāzes tirdzniecības perioda vidējā dabasgāzes biržas Title Transfer Facility (TTF) nākotnes līguma cena uz publicēšanas mēneša pirmo darba dienu secīgi trīs mēnešus pārsniedz 91 euro par megavatstundu.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dīzeļdegviela ir ne tikai fosilais kurināmais ar augstu emisiju faktoru, bet arī augsts cieto daļiņu īpatsvars aicinām noteikt pārejas periodu līdz 2025. beigām, kuram tiek veikts atbalsts, motivējot uzstādīt citus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Mājsaimniecības lietotājiem, lietotājiem, kuru gazificētais objekts ir daudzdzīvokļu dzīvojamā māja, kurā ir mājsaimniecības, kā arī lietotājiem, kuru gazificētajā objektā ir mājsaimniecība,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minētajā periodā piemēro maksas samazinājumu 110 euro apmērā rēķina summai par patērēto dabasgāzi, ieskaitot pievienotās vērtības nodokli, bet neiekļaujot tajā maksu par sistēmas pakalpojumiem un citos normatīvajos aktos noteiktos maksājumus un tiem aprēķināto pievienotās vērtības nodokli, ja mājsaimniecības dabasgāzes patēriņš gazificētajā objektā mēnesī ir vismaz 221 kilovatstunda.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efektivitātes rādītāju kWh/m2 mēnesī, nosakot līmeni līdz kuram tiek veikts atbalsta maksājums. Piemēram, 2020. gada 10. decembra noteikumi nr. 730 “Ekspluatējamu ēku energoefektivitātes minimālās prasības” nosaka atbilstošu energoefektivitātes līmeni E energoefektivitātes klase. Ierosinām veicināt energoefektivitāti nosakot, ka netiek veicināts nelietderīgs patēriņš. Ierosinājums attiecas arī uz centralizēto siltumenerģiju un decentralizētajiem risinājumiem. Šādas robežas noteikšana veicinās iedzīvotājus aizdomāties par nepieciešamību atjaunot ēkas.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regulējumā jo vairāk patērē, jo lielāks atbalsts. Neveicina energoefektivitāti un objektiem, kas ir atjaunoti vai būvēti ar augstu energoefektivitāti tiek ierobežoti.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Maksas samazinājums norēķinu perioda (kalendāra mēneša) ietvaros nedrīkst pārsniegt faktisko rēķina summu par centralizētās siltumapgādes pakalpojumu, kā arī nedrīkst segt mājsaimniecības lietotāja parādsaistības pret centralizētās siltumapgādes pakalpojuma 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tiesību norma nevar tikt attiecināta uz AS “RĪGAS SILTUMS” lietotājiem (izņemot tiešo norēķinu gadījumos), jo AS “RĪGAS SILTUMS” gadījumā līgums ir noslēgts ar visu mājas (mājas kopības vārdā līgumu slēdz pārvaldnieks) kopību, attiecīgi, AS “RĪGAS SILTUMS” rīcībā nav informācijas ar konkrēta lietotāja parādsaistībām pret AS “RĪGAS SILTUMS”. Tikai konkrētais objekta pārvaldnieks var identificēt, kuram lietotājam ir parādsaistības. Attiecīgi, atkārtoti norādām, ka nepieciešams precizēt Noteikumu projekta 39.punktu, paredzot kārtību, kādā objekta pārvaldnieks veic informācijas sniegšanu par konkrētās mājas dzīvokļu īpašnieka parādsaistībām par mājai kā kopībai piegādāto siltumenerģiju.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piedāvājam Noteikumu projekta 39.punktā vārdus “(kalendāra mēneša)” svītrot, jo norēķinu periods ne vienmēr sakrīt ar kalendāro mēnesi. Turklāt, 2008.gada 21.oktobra Ministru kabineta noteikumos Nr.876 “Siltumenerģijas piegādes un lietošanas noteikumi” ir sniegta definīcija “Norēķinu periods”, kas atbilstoši minētajiem noteikumiem ir  laikposms, par kuru uzskaita patērēto siltumenerģiju un par to samaksā.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birojs konstatē energoapgādes komersantam nepamatoti izmaksātu kompensāciju, tas pieņem lēmumu par nepamatoti izmaksātās kompensācijas atmaksu. Birojs veic aprēķinu par nepamatoti izmaksātās kompensācijas apmēru un informē par to energoapgādes komersantu EIKIS.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53. un 54.punkts noteic kārtību, kādā veicama korekcija vai nepamatoti izmaksātās kompensācijas atmaksa, tomēr minētās tiesību normas neparedz, kas veic minētās darbības un kādā kārtībā. Attiecīgi, atkārtoti lūdzam precizēt Noteikumu projekta 53. un 54.punktu, paredzot kārtību un personu loku, kas veiks korekciju vai nepamatoti izmaksātas kompensācijas atmaksu.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53. un 54.punktā minētā kompensācija tiek sniegta konkrētai mājsaimniecībai, pamatojoties uz objekta pārvaldnieka sniegto informāciju siltumapgādes komersantam, un par šīs informācijas atbilstību normatīvo aktu prasībām atbild konkrētā objekta pārvaldnieks.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Energoapgādes izmaksu valsts atbalsta likuma 7.panta 8.daļā minētie datu reģistru pārziņi, elektroenerģijas tirgotāji un dabasgāzes tirgotāji slēdz starpresoru vienošanos ar Biroju par datu apmaiņu ar EIKIS.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nodrošināt EIKIS sistēmā iespēju pašvaldībām iegūt informāciju par apkures veidiem konkrētās ēkās un dzīvokļos, kas saņēmuši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Ja objekta pārvaldnieks neiesniedz centralizētās siltumapgādes komersantam šo noteikumu </w:t>
            </w:r>
            <w:r w:rsidR="00000000" w:rsidRPr="00000000" w:rsidDel="00000000">
              <w:rPr>
                <w:rtl w:val="0"/>
              </w:rPr>
              <w:t xml:space="preserve">91.1.2.</w:t>
            </w:r>
            <w:r w:rsidR="00000000" w:rsidRPr="00000000" w:rsidDel="00000000">
              <w:rPr>
                <w:rtl w:val="0"/>
              </w:rPr>
              <w:t xml:space="preserve"> un </w:t>
            </w:r>
            <w:r w:rsidR="00000000" w:rsidRPr="00000000" w:rsidDel="00000000">
              <w:rPr>
                <w:rtl w:val="0"/>
              </w:rPr>
              <w:t xml:space="preserve">91.2.2.</w:t>
            </w:r>
            <w:r w:rsidR="00000000" w:rsidRPr="00000000" w:rsidDel="00000000">
              <w:rPr>
                <w:rtl w:val="0"/>
              </w:rPr>
              <w:t xml:space="preserve"> apakšpunktā norādīto informāciju </w:t>
            </w:r>
            <w:r w:rsidR="00000000" w:rsidRPr="00000000" w:rsidDel="00000000">
              <w:rPr>
                <w:rtl w:val="0"/>
              </w:rPr>
              <w:t xml:space="preserve">91.1.2.</w:t>
            </w:r>
            <w:r w:rsidR="00000000" w:rsidRPr="00000000" w:rsidDel="00000000">
              <w:rPr>
                <w:rtl w:val="0"/>
              </w:rPr>
              <w:t xml:space="preserve"> un </w:t>
            </w:r>
            <w:r w:rsidR="00000000" w:rsidRPr="00000000" w:rsidDel="00000000">
              <w:rPr>
                <w:rtl w:val="0"/>
              </w:rPr>
              <w:t xml:space="preserve">91.2.2.</w:t>
            </w:r>
            <w:r w:rsidR="00000000" w:rsidRPr="00000000" w:rsidDel="00000000">
              <w:rPr>
                <w:rtl w:val="0"/>
              </w:rPr>
              <w:t xml:space="preserve"> apakšpunktā noteiktajā termiņā, centralizētās siltumapgādes komersantam ir tiesības nepiemērot šo noteikumu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punktā minēto atbalstu par objektam piegādāto siltumenerģiju.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objekta pārvaldniekam ir jāiesniedz Noteikumu projekta  91.1.2. un 91.2.2. apakšpunktā norādīto informāciju par aprēķināto atbalsta apjomu centralizētās siltumapgādes komersantam, piedāvājam precizēt 92.punkta redakciju.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Ja objekta pārvaldnieks neiesniedz centralizētās siltumapgādes komersantam šo noteikumu 91.1.2. un 91.2.2.apakšpunktā norādīto informāciju 91.1.2. un 91.2.2. apakšpunktā noteiktajā termiņā, centralizētās siltumapgādes komersants nepiemēro šo noteikumu 31. un 32.punktā minēto atbalstu par objektam piegādāto siltumenerģiju. Objekta pārvaldnieks ir atbildīgs par 91.1.2. un 91.2.2.apakšpunktā aprēķināto atbalsta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07.05.2024.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07.05.2024.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