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8. decembra noteikumos Nr. 709 "Noteikumi par izmaksu noteikšanas metodiku un kārtību, kādā pašvaldība atbilstoši tās noteiktajām vidējām izmaksām sedz pirmsskolas izglītības programmas izmaksas privātai izglītības iestādei" (Latvijas Vēstnesis, 2015, 252. nr.; 2016, 245. nr.; 2017, 208. nr.; 2020, 11.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plānota bērna prombūtne cita gadījuma dēļ, par kuru bērna likumīgais pārstāvis rakstiski informējis izglītības iestādi pirms plānotās bērna prombūtnes. Plānotā prombūtne ir uzskatāma par attaisnojošu bērniem vecumā līdz četriem gadiem (ieskaitot) apjomā līdz 80 darbdienām kalendārā gada laikā, un bērniem pēc piecu gadu vecuma (ieskaitot) - līdz 60 darbdienām kalendārā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dienu skaitu, </w:t>
            </w:r>
            <w:r w:rsidR="00000000" w:rsidRPr="00000000" w:rsidDel="00000000">
              <w:rPr>
                <w:b w:val="1"/>
                <w:rtl w:val="0"/>
              </w:rPr>
              <w:t xml:space="preserve">nosakot  56 kalendārās dienas kā bērna attaisnotu prombūtni citos gadījumos, ja bērna likumīgais pārstāvis par to rakstiski ir informējis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vecāka ikgadējais atvaļinājums ir 28 kalendārās dienas, attiecīgi abu vecāku kopējais atvaļinājuma dienu skaits - 56 kalendārās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pēc piecu gadu vecuma papildus attaisnojamās dienas ierobežojam ar periodu “vasaras mēnešos”, jo sākot ar piecu gadu vecumu pamatizglītības ieguve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privātā izglītības iestāde ar iekšējiem noteikumiem var papildināt attaisnojamo dienu skaitu līdz 60, 80 vai vairāk dienām, bet tās tad nebūtu jālīdzfinansē no pašvaldības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izteikt sekojošā redakcijā: plānota bērna prombūtne cita gadījuma dēļ, par kuru bērna likumīgais pārstāvis rakstiski informējis izglītības iestādi pirms plānotās bērna prombūtnes. Plānotā prombūtne ir uzskatāma par attaisnojošu bērniem vecumā līdz četriem gadiem (ieskaitot) apjomā līdz 56 kalendārām dienām kalendārā gada laikā, un bērniem pēc piecu gadu vecuma (ieskaitot) - līdz 56 kalendārām dienām vasaras (jūnijs, jūlijs, augusts) mēnešos, kad noris sasniegtā mācību rezultāta nostiprināšana.”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11.12.2023. 19.17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11.12.2023. 19.17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Atzinumi_23-TA-2300.docx</dc:title>
</cp:coreProperties>
</file>

<file path=docProps/custom.xml><?xml version="1.0" encoding="utf-8"?>
<Properties xmlns="http://schemas.openxmlformats.org/officeDocument/2006/custom-properties" xmlns:vt="http://schemas.openxmlformats.org/officeDocument/2006/docPropsVTypes"/>
</file>