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ietvaros finansējuma saņēmējam ir atbalstāmas šādas darbības, kas veido agrīnā preventīvā atbalsta pakalpojumu sistēmu bērnu attīstības vajadzību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sniegtās informācijas secināms, ka kārtu ietvaros atšķiras atbalstāmās darbības, ievērojot minēto, lūdzu precizēt noteikumu projekta 17.punktu, izdalot to pa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jaunradītu darba vietu aprīkojuma, biroja mēbeļu un tehnikas, datorprogrammu un licenču iegādes vai nomas izmaksas (tai skaitā aprīkojuma uzturēšanas un remonta izmaksas,) ne vairāk kā 3000 euro vienai darba vietai visā projekta īstenošanas laikā, ja projekta vadības vai īstenošanas personāls, tai skaitā sadarbības partnera personāls, ir nodarbināts projektā vismaz 30 procentu apmērā no normālā darba laika uz darba līguma pamata, vai arī gadījumos, ja esošo darba vietu aprīkojums ir nolietojies un tiek norakstīts. Ja projekta vadības un īstenošanas personāls, tai skaitā sadarbības partnera personāls, ir nodarbināts nepilnu darba laiku vai daļlaiku, darba vietas aprīkojuma izmaksas ir attiecināmas proporcionāli atlīdzības procentuālajam sadalījumam, kā arī jāņem vērā darbinieka iesaistes periods projektā pret projekta kopējo īstenošanas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ņemot vērā, ka nosacījums par darbinieka iesaistes periodu projektā attiecas tikai uz daļlaiku. Šobrīd MK noteikumos iekļauta stingrāka prasība, nekā to paredz Vadlīnijas attiecināmo izmaksu noteikšanai (Nr. 1.2.). Saskaņā ar vadlīniju 9.5.punktu darba vietas aprīkojuma izmaksas ir attiecināmas atbilstoši slodzes apmēram – darbiniekiem, kuri strādā normālo darba laiku, aprīkojuma izmaksas ir attiecināmas 100% apmērā, bet nepilna darba laika gadījumā – ņemot vērā attiecīgā darba laika proporciju. Savukārt, saskaņā ar minēto vadlīniju 33.punktu daļlaika gadījumā jāņem vērā darbinieka iesaistes periods projektā pret projekta kopējo īstenošanas ilgumu un daļlaika proporcija darbam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24.2.  informācijas uzkrāšanu, uzskaiti un iesniegšanu sadarbības iestādē apkopotus datus par sasniegtajiem rādītājiem atbilstoši Eiropas Parlamenta un Padomes 2021. gada 24. jūnija Regulas (ES) 2021/1057, ar ko izveido Eiropas Sociālo fondu Plus (ESF+) un atceļ Regulu (ES) Nr. 1296/2013, 1. un 2. pielikumam un Ministru kabineta 2023. gada 21. marta noteikumu Nr. 135 "Eiropas Savienības fondu projektu pārbaužu veikšanas kārtība 2021.–2027. gada plānošanas periodā" 1. pielikumam.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noteikumu projekta punktiem, par kurām mērķa grupas personām ir jāuzkrāj dati, kas tiks ieskaitītas arī iznākuma rādītājā.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īstenošanā iesaistītajām institūcijām ir tiesības pieprasīt un saņemt tiešu pieeju datiem valsts informācijas sistēmās un pieprasāmo datu apjomu, lai gūt pārliecību par mērķa grupas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27.punktu, nosakot, ka attiecīgās tiesības ir tikai finansējuma saņēmējam un sadarbības partnerim (ja attiecināms), papildus ietverot atsauces, kuru darbību ietvaros attiecīgā informācija var tik prasīta, ka arī norādot precīzu datu apjomu. No anotācijas secināms, ka pieeja būs nepieciešama tikai no Fizisko personu reģistra un Valsts izglītības informācijas sistēmas, aicinām minēto norādīt arī noteikumu projektā, lai nerastos interpretācijas iestepējas.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sekojošs teksts: "Finansējuma saņēmējs vienosies ar sadarbības partneri par sadarbības jomām, kurā tas tiks iesaistīts vai par konkrētu darbību īstenošanu projektā. Tiek plānots, ka noteikumu projektā minētās ministrijas deleģēto funkciju ietvaros tiks iesaistītas kā viedokļa sniedzējas kvalitatīvas visaptverošas intervences programmas ieviešanai, savukārt pastāv iespēja, ka citi sadarbības partneri tiks piesaistīti arī konkrētu darbību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kāda būs sadarbības partneru atlases un piesaistes kārtība, lai nodrošinātu, ka tiek ievērots MK 13.07.2023. noteikumu Nr. 408 “Kārtība, kādā Eiropas Savienības fondu vadībā iesaistītās institūcijas nodrošina šo fondu ieviešanu 2021.–2027. gada plānošanas periodā” 3.3.apakšpunktā minētais nosacījums (finansējuma saņēmējam ar sadarbības partneri nevar rasties tādas tiesiskās attiecības, no kurām izrietētu, ka šis darījums atbilst publiska iepirkuma līguma pazīmēm atbilstoši Publisko iepirkumu likumam), kā arī sadarbības partnerim piešķirtais finansējums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ir plānota personas datu apstrāde, lūdzam aizpildīt arī anotācijas 8.1.13.apakšpunktu un noteikumu projektu saskaņot ar Datu valsts inspekciju, atbilstoši Datu valsts inspekcijas 2023.gada 3.februāra vēstulei Nr.7-4.2/19-N "Par tiesību aktu projektu saskaņošanu".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2023.gada 13.jūlija protokollēmuma Nr.36 85. § 3.punktā, noteikto, aicinām izvērtēt un, ja attiecināms, papildināt noteikumu projektu ar pienākumu finansējuma saņēmējam veikt izmaksu un ieguvumu analīzi.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4.3. prioritātes "Nodarbinātība un sociālā iekļaušana" 4.3.6. specifiskā atbalsta mērķa "Veicināt nabadzības vai sociālās atstumtības riskam pakļauto cilvēku, tostarp vistrūcīgāko un bērnu, sociālo integrāciju" 4.3.6.7. pasākumu  "Starpnozaru sadarbības un atbalsta sistēmas izveide bērnu veselīgai attīstībai un sekmīgai pašrealizācijai" (turpmāk –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1.1.apakšpunkā vārdus "4.3. prioritātes "Nodarbinātība un sociālā iekļaušana", nodrošinot atbilstību noteikumu projekta nosaukumam.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rezultāta rādītājs: bērnu ar attīstības grūtībām, nepietiekamībām vai to veidošanās risku kumulatīvais skaits, kuriem veicināta pozitīva attīstība un pašrealizācija,– 14 150: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pirmās kārtas ietvaros atbalstu saņems 7250 bērni vecumā līdz 18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otrās kārtas ietvaros atbalstu saņems 6900 bērni vecumā līdz 18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dublējošos noteikumu projekta 6.1. un 6.2. apakšpunktus.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41 795 178 euro (tai skaitā elastības finansējuma apjoms 6 594 240 euro), tai skaitā Eiropas Sociālā fonda Plus finansējums 35 525 901 euro (tai skaitā elastības finansējuma apjoms 5 605 104 euro) un valsts budžeta līdzfinansējums 6 269 277 euro (tai skaitā elastības finansējuma apjoms 989 136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tiek plānots elastības finansējums, tad MK noteikumos ietver normu, kas paredz atbildīgajai iestādei tiesības pēc Eiropas Komisijas lēmuma par vidusposma pārskatu un tajā sniegto informāciju par programmas ieviešanas progresu ierosināt no 2026. gada 1. janvāra palielināt pieejamo finansējumu līdz MK noteikumos specifiskā atbalsta mērķa plānotā kopējā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atbalsta veids ir grants.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normas skaidrībai precizēt, vai grants kā atbalsta veids ir abās atlases kārtās? Kā arī, lūdzam izdalīt  noteikumu projekta 7.3. apakšpunktu kā jaunu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Maksimālā Eiropas Sociālā fonda Plus finansējuma intensitāte ir 85 % no projektam plānotā kopējā attiecināmā finansējuma, un nacionālais līdzfinansējums nav mazāks par 15 % no projektam plānotā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8.punktu, lai nerodas interpretācijas iespējas, ņemot vērā, ka 4.3.6.7. pasākumā ir tikai viens nacionālā līdzfinansējuma avots - valsts budžets, kas nevar pārsniegt 15%.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Eiropas Sociālā fonda Plus finansējuma apmērs nepārsniedz 85 procentus no projekta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II nodaļu ar vārdiem ", finansējuma saņēmējam" aiz vārda "iesniedzējam", ņemot vērā nodaļā ietvertās normas, kas attiecas uz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iesniedzējs, kura projekta iesniegums ir apstiprināts, ir Eiropas Sociālā fonda Plus finansējuma saņēmējs, kas pasākuma ietvaros ir Valsts kancelejas Pārresoru koordinācijas departaments (turpmāk –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10.punktu ar vārdu “Projekta” pirms vārda “iesniedzējs”. Attiecīgu precizējumu, lūdzam veikt arī noteikumu projekta 14.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Sadarbības partneri nodrošina metodisko atbalstu un piedalās pasākuma uzraudzībā tā kvalitatīvai īstenošanai, kā arī var tikt piesaistīti konkrētu darbību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"pasākuma' ar vārdu "projektu", jo sadarbības partneri tiek piesaistīti pie projekta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Sadarbības partnerim var tikt piešķirts finansējums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precizēt noteikumu projekta 13.punktu, skaidri nosakot, kuras darbības plānots nodot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saņēmējs ar sadarbības partneri slēdz attiecīgi sadarbības līgumu vai vienošanos par sadarbību (turpmāk – sadarbības līgums) atbilstoši normatīvajam aktam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tiek slēgts sadarbības līgums, MK noteikumos ir jāatrunā tā galvenie aspekti (atbildība, funkcijas utt.), attiecīgi lūdzam papildināt noteikumu projektu. Izpildot minēto, MK noteikumos nedublē  MK 2023. gada 13. jūlija noteikumu Nr. 408 "Kārtība, kādā Eiropas Savienības fondu vadībā iesaistītās institūcijas nodrošina šo fondu ieviešanu 2021.-2027. gada plānošanas periodā" regulējumu, tostarp to 6. punktā ietvertos nosacījumus par sadarbības līgumā iekļaujamo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saskaņā ar projektu iesniegumu atlases nolikumu sagatavo projekta iesniegumu un iesniedz to sadarbības iestādē, izmantojot Kohēzijas politikas fondu vadības informācijas sistēmu. Ja sadarbības iestāde apstiprina projekta iesniegumu, projekta iesniedzējs ir arī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16. punkta pēdējo teikumu, ņemot vērā, ka tas dublē noteikumu projekta 10.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atbilstoši Eiropas Savienības fondu 2021-2027.gada plānošanas perioda vadības likumā minētam, finansējuma saņēmējs ir persona, kuras projekta iesniegums </w:t>
            </w:r>
            <w:r w:rsidR="00000000" w:rsidRPr="00000000" w:rsidDel="00000000">
              <w:rPr>
                <w:u w:val="single"/>
                <w:rtl w:val="0"/>
              </w:rPr>
              <w:t xml:space="preserve">ir apstiprināts</w:t>
            </w:r>
            <w:r w:rsidR="00000000" w:rsidRPr="00000000" w:rsidDel="00000000">
              <w:rPr>
                <w:rtl w:val="0"/>
              </w:rPr>
              <w:t xml:space="preserve">. Kā arī lūdzam </w:t>
            </w:r>
            <w:r w:rsidR="00000000" w:rsidRPr="00000000" w:rsidDel="00000000">
              <w:rPr>
                <w:rtl w:val="0"/>
              </w:rPr>
              <w:t xml:space="preserve">pārcelt  noteikumu projekta 16.punktu aiz 10.punkta, lai nodrošinātu normu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informācijas un publicitātes pasākumi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17.17. , 19.14. un 23.4. apakšpunktus. Attiecīgu precizējumu, lūdzam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17.17.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18.2. apakšpunktā minētajām pārējām projekta tiešajām attiecināmajām īstenošanas izmaksām.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skaidrojumus Finanšu ministrijai kā Eiropas Savienības fondu vadošai iestādei par vienotās likmes aprēķinu līdz MK noteikumu apstiprināšanai, sniedzot pamatojumu, ka likmes aprēķins ir veidots uz reāliem un argumentētiem pieņēmumiem, kas nerada pārkompensēšanas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17.17.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18.2. apakšpunktā minētajām pārējām projekta tiešajām attiecināmajām īstenošanas izmaksām.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18.1.apakšpunktu, norādot, ka projektu īstenošanas personāla izmaksas ir attiecināmas, tai skaitā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ārvalstu komandējumu izmaksas šo noteikumu 17.1.līdz 17.10. apakšpunktā minētās atbalstāmās darbības īstenošanai. Ārvalstu komandējumu izmaksas aprēķina un atlīdzina atbilstoši normatīvajiem aktiem par kārtību, kādā atlīdzināmi ar komandējumiem saistītie izdevumi projekta vadības un īstenošanas personālam (tai skaitā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nosacījumu, ka ārvalstu komandējumu izmaksas attiecināmas tikai projekta vadītājam un īstenošanas personālam atbilstoši Finanšu ministrijas vadlīnijās "Vadlīnijas attiecināmo izmaksu noteikšanai Eiropas Savienības kohēzijas politikas programmas 2021.-2027.gada plānošanas periodā"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iekšzemes komandējumu un darba braucienu izmaksas šo noteikumu 17.1. līdz 17.10. apakšpunktā minēto atbalstāmo darbību īstenošanai. Iekšzemes komandējumu izmaksas tiek segtas atbilstoši vadošās iestādes metodikā "Vienas vienības izmaksu standarta likmes aprēķina un piemērošanas metodika iekšzemes komandējumu izmaksām darbības programmas "Izaugsme un nodarbinātība" un Eiropas Savienības kohēzijas politikas programmas 2021.–2027. gadam īstenošanai"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noteikto, lūdzam papildināt MK noteikumus, ka iekšzemes komandējumu un darba braucienu izmaksas ir attiecināmas projekta vadības un īstenošanas personālam, tai skaitā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19.13. transporta pakalpojuma izmaksas (maksa par degvielu un maksa par sabiedriskā transporta izmantošanu) sedzamas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savukārt transportlīdzekļu noma, transporta pakalpojumu pirkšana, kā arī transportlīdzekļa (tai skaitā specializētā) pakalpojuma pirkšana sedzamas kā faktiskās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noteikto, lūdzam papildināt MK noteikumus, ka transporta pakalpojuma izmaksas ir attiecināmas projekta vadības un īstenošanas personālam, tai skaitā sadarbības partneriem. Vienlaikus norādot, kuru atbalstāmo darbību nodrošināšanai ir paredzētas minētas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19.14. projekta informācijas un publicitātes pasākumu izmaksas atbilstoši normatīvajiem aktiem, kas nosaka kārtība, kādā Eiropas Savienības fondu vadībā iesaistītās institūcijas nodrošina šo fondu ieviešanu 2021.–2027.gada plānošanas periodā", Eiropas Savienības fondu 2021.–2027. gada plānošanas perioda un Atveseļošanas fonda komunikācijas un dizaina vadlīnijām šo noteikumu </w:t>
            </w:r>
            <w:r w:rsidR="00000000" w:rsidRPr="00000000" w:rsidDel="00000000">
              <w:rPr>
                <w:rtl w:val="0"/>
              </w:rPr>
              <w:t xml:space="preserve">17.16. </w:t>
            </w:r>
            <w:r w:rsidR="00000000" w:rsidRPr="00000000" w:rsidDel="00000000">
              <w:rPr>
                <w:rtl w:val="0"/>
              </w:rPr>
              <w:t xml:space="preserve">apakšpunktā</w:t>
            </w:r>
            <w:r w:rsidR="00000000" w:rsidRPr="00000000" w:rsidDel="00000000">
              <w:rPr>
                <w:rtl w:val="0"/>
              </w:rPr>
              <w:t xml:space="preserve">  minētās atbalstāmās darbības īstenošanai un Eiropas Parlamenta un Padomes 2021.gada 24.jūnija Regulas Nr. 2021/1060 47. un 50.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19.14. komunikācijas un vizuālās identitātes prasību nodrošināšanas izmaksas atbilstoši Eiropas Parlamenta un Padomes 2021.gada 24.jūnija Regulas Nr. 2021/1060 47. un 50. pantam, normatīvajiem aktiem, kas nosaka kārtību, kādā Eiropas Savienības fondu vadībā iesaistītās institūcijas nodrošina šo fondu ieviešanu 2021.–2027.gada plānošanas periodā",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Pasākuma atbalstāmo darbību ietvaros ir attiecināms pievienotās vērtības nodoklis tiešajām attiecināmajām izmaksām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apakšpunkta nosacījumiem, ja tas nav atgūstams atbilstoši normatīvajiem aktiem nodokļu politikas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21.punktā vārdus un skaitļus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ar vārdiem un skaitļiem "Regulas Nr. 2021/1060", ņemot vērā noteikumu projekta 18.1.apakšpunktā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24.2.  informācijas uzkrāšanu, uzskaiti un iesniegšanu sadarbības iestādē apkopotus datus par sasniegtajiem rādītājiem atbilstoši Eiropas Parlamenta un Padomes 2021. gada 24. jūnija Regulas (ES) 2021/1057, ar ko izveido Eiropas Sociālo fondu Plus (ESF+) un atceļ Regulu (ES) Nr. 1296/2013, 1. un 2. pielikumam un Ministru kabineta 2023. gada 21. marta noteikumu Nr. 135 "Eiropas Savienības fondu projektu pārbaužu veikšanas kārtība 2021.–2027. gada plānošanas periodā" 1. pielikumam.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ievada tekstu: "Īstenojot projektu, finansējuma saņēmējs nodrošina:", lai ir izsekojams uz ko attiecas tālāk minētie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24.2.  informācijas uzkrāšanu, uzskaiti un iesniegšanu sadarbības iestādē apkopotus datus par sasniegtajiem rādītājiem atbilstoši Eiropas Parlamenta un Padomes 2021. gada 24. jūnija Regulas (ES) 2021/1057, ar ko izveido Eiropas Sociālo fondu Plus (ESF+) un atceļ Regulu (ES) Nr. 1296/2013, 1. un 2. pielikumam un Ministru kabineta 2023. gada 21. marta noteikumu Nr. 135 "Eiropas Savienības fondu projektu pārbaužu veikšanas kārtība 2021.–2027. gada plānošanas periodā" 1. pielikumam.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24.2.  informācijas uzkrāšanu, uzskaiti un iesniegšanu sadarbības iestādē apkopotus datus par sasniegtajiem rādītājiem atbilstoši Eiropas Parlamenta un Padomes 2021. gada 24. jūnija Regulas (ES) 2021/1057, ar ko izveido Eiropas Sociālo fondu Plus (ESF+) un atceļ Regulu (ES) Nr. 1296/2013, 1. un 2. pielikumam un Ministru kabineta 2023. gada 21. marta noteikumu Nr. 135 "Eiropas Savienības fondu projektu pārbaužu veikšanas kārtība 2021.–2027. gada plānošanas periodā" 1. pielikumam.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un skaitļus "Ministru kabineta 2023. gada 21. marta noteikumu Nr. 135 "Eiropas Savienības fondu projektu pārbaužu veikšanas kārtība 2021.–2027. gada plānošanas periodā" ar vārdiem "normatīvajiem aktiem, kas nosaka Eiropas Savienības fondu projektu pārbaužu veikšanas kārtība 2021.–2027. gada plānošanas periodā", lai nodrošinātu, ka pie situācijas, ja perioda ietvaros tiek pārizdoti minēti pārbaužu noteikumi, nebūtu jāaktualizē arī šie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informācijas uzkrāšanu, uzskaiti un iesniegšanu sadarbības iestādē apkopotus datus par sasniegtajiem rādītājiem atbilstoši Eiropas Parlamenta un Padomes 2021. gada 24. jūnija Regulas (ES) 2021/1057, ar ko izveido Eiropas Sociālo fondu Plus (ESF+) un atceļ Regulu (ES) Nr. 1296/2013, 1. un 2. pielikumam un Ministru kabineta 2023. gada 21. marta noteikumu Nr. 135 "Eiropas Savienības fondu projektu pārbaužu veikšanas kārtība 2021.–2027. gada plānošanas periodā" 1. pielikumam.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24.2. apakšpunktu, kurš noteikumu projektā ir dubultā.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finansējuma dalījumu pa visām intervences kategorijām (Intervences laukums, Finansējuma veids, Teritoriālie sasniegšanas mehānismi, ESF+ sekundārās tēmas un Dzimumu līdztiesība), norādot intervences kodus un tam piemērojamo pasākuma fondu finansējuma apjomu, atbilstoši Programmā (2.1. sadaļa "Informācija par dalījumu par intervences kategorijām") un tā papildinājumā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anotācija ir papildināta tikai ar finansējuma sadalījumu intervences kategorijā "Intervences laukums".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"Pasākuma kopējais attiecināmais finansējums, lai slēgtu vienošanos par projektu īstenošanu, ir   35 200 938 euro (Eiropas Sociālā fonda Plus finansējums – 29 920 797 euro un valsts budžeta līdzfinansējums –5 280 141 euro. Savukārt no 2026. gada 1. janvāra pēc Eiropas Komisijas lēmuma par snieguma ietvara izpildi Valsts kanceleja kā atbildīgā iestāde var ierosināt palielināt pieejamo kopējo finansējumu par noteikto elastības finansējuma summu  </w:t>
            </w:r>
            <w:r w:rsidR="00000000" w:rsidRPr="00000000" w:rsidDel="00000000">
              <w:rPr>
                <w:u w:val="single"/>
                <w:rtl w:val="0"/>
              </w:rPr>
              <w:t xml:space="preserve">6 594 239 </w:t>
            </w:r>
            <w:r w:rsidR="00000000" w:rsidRPr="00000000" w:rsidDel="00000000">
              <w:rPr>
                <w:u w:val="single"/>
                <w:rtl w:val="0"/>
              </w:rPr>
              <w:t xml:space="preserve">eur</w:t>
            </w:r>
            <w:r w:rsidR="00000000" w:rsidRPr="00000000" w:rsidDel="00000000">
              <w:rPr>
                <w:rtl w:val="0"/>
              </w:rPr>
              <w:t xml:space="preserve">o (Eiropas Sociālā fonda Plus finansējums  5 </w:t>
            </w:r>
            <w:r w:rsidR="00000000" w:rsidRPr="00000000" w:rsidDel="00000000">
              <w:rPr>
                <w:u w:val="single"/>
                <w:rtl w:val="0"/>
              </w:rPr>
              <w:t xml:space="preserve">605 103 euro</w:t>
            </w:r>
            <w:r w:rsidR="00000000" w:rsidRPr="00000000" w:rsidDel="00000000">
              <w:rPr>
                <w:rtl w:val="0"/>
              </w:rPr>
              <w:t xml:space="preserve"> un valsts budžeta finansējums 989 136 euro)." lūdzam precizēt summas atbilstoši noteikumu 7.punktā minētajam - attiecīgi 6 594 240 EUR un 5 605 104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kļūda ir arī zemāk norādītajā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iznākuma rādītājam </w:t>
            </w:r>
            <w:r w:rsidR="00000000" w:rsidRPr="00000000" w:rsidDel="00000000">
              <w:rPr>
                <w:i w:val="1"/>
                <w:rtl w:val="0"/>
              </w:rPr>
              <w:t xml:space="preserve">Bērni vecumā līdz 18 gadiem</w:t>
            </w:r>
            <w:r w:rsidR="00000000" w:rsidRPr="00000000" w:rsidDel="00000000">
              <w:rPr>
                <w:rtl w:val="0"/>
              </w:rPr>
              <w:t xml:space="preserve"> atbilstošo darbību uzskaitījuma lūdzam dzēst sekojošus apakšpunktus, jo tie tiešā veidā neietekmē iznākuma rādītāja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informācijas un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17.17. projekta vadības un projekta īstenošanas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Iznākuma rādītājam </w:t>
            </w:r>
            <w:r w:rsidR="00000000" w:rsidRPr="00000000" w:rsidDel="00000000">
              <w:rPr>
                <w:i w:val="1"/>
                <w:rtl w:val="0"/>
              </w:rPr>
              <w:t xml:space="preserve">Bērni vecumā līdz 18 gadiem</w:t>
            </w:r>
            <w:r w:rsidR="00000000" w:rsidRPr="00000000" w:rsidDel="00000000">
              <w:rPr>
                <w:rtl w:val="0"/>
              </w:rPr>
              <w:t xml:space="preserve"> atbilstošās darbības norādīto darbību "17.15. Informatīvie un izglītojošie pasākumi" lūdzam skaidrot, vai par bērniem, kas piedalīsies informatīvajos un izglītojošajos pasākumos, paredzēts uzkrāt noteikumu 24.2.apakšpunktā minētos personas datus. Skaidrojam, ka uzkrāt personas datus par publisko atvērto pasākumu dalībniekiem nav obligāti (līdz ar to šo pasākumu dalībnieki nebūtu ieskaitāmi iznākuma rādītājā).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iznākuma rādītājam "</w:t>
            </w:r>
            <w:r w:rsidR="00000000" w:rsidRPr="00000000" w:rsidDel="00000000">
              <w:rPr>
                <w:i w:val="1"/>
                <w:rtl w:val="0"/>
              </w:rPr>
              <w:t xml:space="preserve">Bērni vecumā līdz 18 gadiem" </w:t>
            </w:r>
            <w:r w:rsidR="00000000" w:rsidRPr="00000000" w:rsidDel="00000000">
              <w:rPr>
                <w:rtl w:val="0"/>
              </w:rPr>
              <w:t xml:space="preserve">atbilstošo darbību uzskaitījuma ir norādīta atbilstošā darbība "17.12.aktivitātes vecāku un speciālistu motivēšanai un informēšanai, kapacitātes stiprināšanas pasākumi". Tā kā šīs atbalstāmās darbības mērķa grupa ir vecāki un speciālisti, lūdzu pārcelt to pie iznākuma rādītāja “Nodarbinātās personas, tostarp pašnodarbinātās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iznākuma rādītājam "</w:t>
            </w:r>
            <w:r w:rsidR="00000000" w:rsidRPr="00000000" w:rsidDel="00000000">
              <w:rPr>
                <w:i w:val="1"/>
                <w:rtl w:val="0"/>
              </w:rPr>
              <w:t xml:space="preserve">Nodarbinātās personas, tostarp pašnodarbinātās personas"</w:t>
            </w:r>
            <w:r w:rsidR="00000000" w:rsidRPr="00000000" w:rsidDel="00000000">
              <w:rPr>
                <w:rtl w:val="0"/>
              </w:rPr>
              <w:t xml:space="preserve"> atbilstošo darbību uzskaitījuma lūdzam dzēst sekojošus apakšpunktus, jo tie tiešā veidā neietekmē iznākuma rādītāja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informācijas un publicitātes pasākumi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17.17. projekta vadības un projekta īstenošanas nodrošināšana.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iznākuma rādītājam "</w:t>
            </w:r>
            <w:r w:rsidR="00000000" w:rsidRPr="00000000" w:rsidDel="00000000">
              <w:rPr>
                <w:i w:val="1"/>
                <w:rtl w:val="0"/>
              </w:rPr>
              <w:t xml:space="preserve">Nodarbinātās personas, tostarp pašnodarbinātās personas"</w:t>
            </w:r>
            <w:r w:rsidR="00000000" w:rsidRPr="00000000" w:rsidDel="00000000">
              <w:rPr>
                <w:rtl w:val="0"/>
              </w:rPr>
              <w:t xml:space="preserve"> atbilstošās darbības 17.15.apakšpunktu "informatīvie un izglītojošie pasākumi" lūdzam skaidrot, vai par vecākiem un speciālistiem, kas piedalīsies informatīvajos un izglītojošajos pasākumos, paredzēts uzkrāt noteikumu 24.2.apakšpunktā minētos personas datus. Skaidrojam, ka uzkrāt personas datus par publisko atvērto pasākumu dalībniekiem nav obligāti (līdz ar to šo pasākumu dalībnieki nebūtu ieskaitāmi iznākuma rādītājā).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iznākuma rādītājam "</w:t>
            </w:r>
            <w:r w:rsidR="00000000" w:rsidRPr="00000000" w:rsidDel="00000000">
              <w:rPr>
                <w:i w:val="1"/>
                <w:rtl w:val="0"/>
              </w:rPr>
              <w:t xml:space="preserve">Nacionāla, reģionāla vai vietēja mēroga valsts administrācijas vai sabiedrisko pakalpojumu iestāžu un pakalpojumu skaits" </w:t>
            </w:r>
            <w:r w:rsidR="00000000" w:rsidRPr="00000000" w:rsidDel="00000000">
              <w:rPr>
                <w:rtl w:val="0"/>
              </w:rPr>
              <w:t xml:space="preserve">atbilstošo darbību uzskaitījuma lūdzam dzēst sekojošus apakšpunktus, jo tie tiešā veidā neietekmē iznākuma rādītāja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informācijas un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17.17. projekta vadības un projekta īstenošanas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finansējuma sadalījumu pa gadiem, lai tas atbilstu pirmajā un otrajā rindkopā norādītajam apmērām. Papildus vēršam uzmanību, ka pirmajā rindkopā pa pozīcijām norādītā finansējuma kopsumma neatbilst otrajā rindkopā un noteikumu projekta 7. punktā norādītajam kopējā finansējuma 41 795 178 euro apmēram un norādītais elastības finansējums 6 594 239 euro apmērā neatbilst noteikumu projekta 7. punktā norādītajam finansējumam 6 594 240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04.08.2023.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04.08.2023.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