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Ministru kabinets nosaka nosacījumus un kārtību, kādā lielie uzņēmumi var iesaistīties elektroenerģijas kopīgošanā."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likumprojekta 4. pantu, termina "uzņēmumi" vietā izmantojot terminu "komersanti" vai "saimnieciskās darbības veicēji".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Ministru kabinets nosaka nosacījumus un kārtību, kādā lielie uzņēmumi var iesaistīties elektroenerģijas kopīgošanā."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skaidrot likumprojekta 4. pantā ietvertā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tādējādi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"104. Šā likuma 58.</w:t>
            </w:r>
            <w:r w:rsidR="00000000" w:rsidRPr="00000000" w:rsidDel="00000000">
              <w:rPr>
                <w:vertAlign w:val="superscript"/>
                <w:rtl w:val="0"/>
              </w:rPr>
              <w:t xml:space="preserve">11</w:t>
            </w:r>
            <w:r w:rsidR="00000000" w:rsidRPr="00000000" w:rsidDel="00000000">
              <w:rPr>
                <w:rtl w:val="0"/>
              </w:rPr>
              <w:t xml:space="preserve"> panta trīspadsmitā daļa ir piemērojama tām atbalsta programmām, kas ir apstiprinātas pēc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Regulators līdz 2027. gada 31. decembrim izdod šā likuma 6. panta 3.</w:t>
            </w:r>
            <w:r w:rsidR="00000000" w:rsidRPr="00000000" w:rsidDel="00000000">
              <w:rPr>
                <w:vertAlign w:val="superscript"/>
                <w:rtl w:val="0"/>
              </w:rPr>
              <w:t xml:space="preserve">1</w:t>
            </w:r>
            <w:r w:rsidR="00000000" w:rsidRPr="00000000" w:rsidDel="00000000">
              <w:rPr>
                <w:rtl w:val="0"/>
              </w:rPr>
              <w:t xml:space="preserve"> daļā noteikto aukstumapgādes tarifu aprēķināšanas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Ministru kabinets līdz 2025. gada 31. decembrim izdod šā likuma 17.</w:t>
            </w:r>
            <w:r w:rsidR="00000000" w:rsidRPr="00000000" w:rsidDel="00000000">
              <w:rPr>
                <w:vertAlign w:val="superscript"/>
                <w:rtl w:val="0"/>
              </w:rPr>
              <w:t xml:space="preserve">1</w:t>
            </w:r>
            <w:r w:rsidR="00000000" w:rsidRPr="00000000" w:rsidDel="00000000">
              <w:rPr>
                <w:rtl w:val="0"/>
              </w:rPr>
              <w:t xml:space="preserve"> panta 8.</w:t>
            </w:r>
            <w:r w:rsidR="00000000" w:rsidRPr="00000000" w:rsidDel="00000000">
              <w:rPr>
                <w:vertAlign w:val="superscript"/>
                <w:rtl w:val="0"/>
              </w:rPr>
              <w:t xml:space="preserve">2</w:t>
            </w:r>
            <w:r w:rsidR="00000000" w:rsidRPr="00000000" w:rsidDel="00000000">
              <w:rPr>
                <w:rtl w:val="0"/>
              </w:rPr>
              <w:t xml:space="preserve">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21. pantā ietvertā Enerģētikas likuma Pārejas noteikumu 104. punktā paredzēto noteikumu vai alternatīvi lūdzam likumprojekta anotācijā skaidrot tiesiskās paļāvības principa pārkāpuma riskus (proti, attiecībā uz atbalsta saņēmējiem - privātpersonām, kas pēc 2025. gada 1. janvāra apstiprinātām atbalsta programmām saņem atbalstu pretēji 58.</w:t>
            </w:r>
            <w:r w:rsidR="00000000" w:rsidRPr="00000000" w:rsidDel="00000000">
              <w:rPr>
                <w:vertAlign w:val="superscript"/>
                <w:rtl w:val="0"/>
              </w:rPr>
              <w:t xml:space="preserve">11</w:t>
            </w:r>
            <w:r w:rsidR="00000000" w:rsidRPr="00000000" w:rsidDel="00000000">
              <w:rPr>
                <w:rtl w:val="0"/>
              </w:rPr>
              <w:t xml:space="preserve"> panta 13. daļā noteiktajam). Norādām, ka, ievērojot tiesiskās paļāvības principu, Eiropas Savienības direktīvas prasības, kuras skar privātpersonas, pamatā (t.i., ja pati direktīva nenosaka citādi) pārņemamas ar nacionālo tiesisko regulējumu, kam piemīt tūlītējs vai uz nākotni vērsts spēks laikā. Vienlaikus vēršam uzmanību, ka attiecīgo prasību (58.</w:t>
            </w:r>
            <w:r w:rsidR="00000000" w:rsidRPr="00000000" w:rsidDel="00000000">
              <w:rPr>
                <w:vertAlign w:val="superscript"/>
                <w:rtl w:val="0"/>
              </w:rPr>
              <w:t xml:space="preserve">11</w:t>
            </w:r>
            <w:r w:rsidR="00000000" w:rsidRPr="00000000" w:rsidDel="00000000">
              <w:rPr>
                <w:rtl w:val="0"/>
              </w:rPr>
              <w:t xml:space="preserve"> panta trīspadsmitajā daļā ietverto) adresāte ir valsts, tādējādi praktiski jau no 2025. gada 1. janvāra valstij (t.i., plašākā nozīmē, tostarp pašvaldībām) būtu jāievēro minētais ierobežojums, kas izriet no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paredzēt atsevišķu likumprojekta normu stāšanās spēkā vispārējā kārtībā, tostarp likumprojekta 11. pantā ietvertās 58.</w:t>
            </w:r>
            <w:r w:rsidR="00000000" w:rsidRPr="00000000" w:rsidDel="00000000">
              <w:rPr>
                <w:vertAlign w:val="superscript"/>
                <w:rtl w:val="0"/>
              </w:rPr>
              <w:t xml:space="preserve">11</w:t>
            </w:r>
            <w:r w:rsidR="00000000" w:rsidRPr="00000000" w:rsidDel="00000000">
              <w:rPr>
                <w:rtl w:val="0"/>
              </w:rPr>
              <w:t xml:space="preserve"> panta trīspadsmitās daļas, jo tās spēkā stāšanās 2025. gada 21. maijā nebūtu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24. punktā minēto lūdzam atkārtoti lūdzam skaidrot, kādi normatīvie tiesību akti paredz prasības attiecībā uz reģistrācijas procesu, savukārt, ja attiecīgas prasības nepastāv, lūdzam skaidrot, kā tiks ieviests vienkāršots reģistrācijas process. Norādām, ja normatīvajos tiesību aktos minētais process nav noregulēts vai nav paredzētas prasības minētajam procesam, tad nepastāv tiesiskā drošība attiecībā uz to, ka esošā situācija nekad nemainīsies. Ja reģistrācijas procesā tiek izmantoti standarti, ierosinām izvērtēt un paredzēt pienākumu ievērot standartus, atsauces uz tiem noformējot atbilstoši iepriekšējā Tieslietu ministrijas atzinumā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mērķis ir pārņemt arī Eiropas Parlamenta un Padomes  2024. gada 13. jūnija direktīvas 2024/1711/ES ar ko groza Direktīvas 2018/2001/ES un 2019/944/ES attiecībā uz Savienības elektroenerģijas tirgus modeļa uzlabošanu, Eiropas Parlamenta un Padomes 2023. gada 13. septembra direktīvas 2023/1791/ES par energoefektivitāti un ar ko groza Regulu 2023/955/ES un Eiropas Parlamenta un Padomes 2024. gada 24. aprīļa direktīvas 2024/1275/ES par ēku energosniegumu prasības, lūdzam papildināt likumprojekta anotāciju ar informāciju, kā paredzēts pārņemt pārējās minēto direktīvu normas, norādot arī termiņu, kādā paredzēts sagatavot un iesniegt Ministru kabinetā nacionālo tiesību aktu, ar kuru šīs normas paredzēts pārņemt, un atbildīgo iestādi par šī tiesību akta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direktīvas Nr. 2018/2001 (konsolidētās redakcijas) 19. panta 7. punkta "a" apakšpunkta "ii"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pārņemts jaunā likumprojektā "Grozījumi Elektroenerģijas tirgus likumā" (apstiprināts 2025. gada 4. ceturksnī). Saistībā ar minēto lūdzam precizēt minēto informāciju, nodrošinot attiecīgās direktīvas prasību pārņemšanu laikā, proti, 2025. gada 21. maijā, vai skaidrot pamatojumu minētajam termiņam. Kā arī šajā un citos līdzīgos gadījumos lūdzam norādīt atbildīgo ministriju par nacionālā tiesību akta izstrādi, kas paredz konkrētās prasības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07.02.2025.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07.02.2025.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Atzinumi_24-TA-1475.docx</dc:title>
</cp:coreProperties>
</file>

<file path=docProps/custom.xml><?xml version="1.0" encoding="utf-8"?>
<Properties xmlns="http://schemas.openxmlformats.org/officeDocument/2006/custom-properties" xmlns:vt="http://schemas.openxmlformats.org/officeDocument/2006/docPropsVTypes"/>
</file>