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 projekta vadības un īstenošanas, personāla atlīdzības nodrošināšana;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MK noteikumu anotāciju papildināt ar skaidrojumu, vai projekta vadības un īstenošanas personālu projektam var piesaistīt uz darba līguma un pakalpojuma līguma pamata, kā arī vai ir ierobežojums personāla noslodzei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Šo noteikumu </w:t>
            </w:r>
            <w:r w:rsidR="00000000" w:rsidRPr="00000000" w:rsidDel="00000000">
              <w:rPr>
                <w:rtl w:val="0"/>
              </w:rPr>
              <w:t xml:space="preserve">18.2.</w:t>
            </w:r>
            <w:r w:rsidR="00000000" w:rsidRPr="00000000" w:rsidDel="00000000">
              <w:rPr>
                <w:rtl w:val="0"/>
              </w:rPr>
              <w:t xml:space="preserve"> apakšpunktā noteiktie izmaksu pasākumi iekļauj izmaksas šo noteikumu </w:t>
            </w:r>
            <w:r w:rsidR="00000000" w:rsidRPr="00000000" w:rsidDel="00000000">
              <w:rPr>
                <w:rtl w:val="0"/>
              </w:rPr>
              <w:t xml:space="preserve">7.</w:t>
            </w:r>
            <w:r w:rsidR="00000000" w:rsidRPr="00000000" w:rsidDel="00000000">
              <w:rPr>
                <w:rtl w:val="0"/>
              </w:rPr>
              <w:t xml:space="preserve"> punktā minētajām mērķa grupām un šo noteikumu </w:t>
            </w:r>
            <w:r w:rsidR="00000000" w:rsidRPr="00000000" w:rsidDel="00000000">
              <w:rPr>
                <w:rtl w:val="0"/>
              </w:rPr>
              <w:t xml:space="preserve">17.</w:t>
            </w:r>
            <w:r w:rsidR="00000000" w:rsidRPr="00000000" w:rsidDel="00000000">
              <w:rPr>
                <w:rtl w:val="0"/>
              </w:rPr>
              <w:t xml:space="preserve"> punktā minētajām prioritārajām jomām par pasākumiem, kas tiek noteiktas pamatojoties uz </w:t>
            </w:r>
            <w:r w:rsidR="00000000" w:rsidRPr="00000000" w:rsidDel="00000000">
              <w:rPr>
                <w:rtl w:val="0"/>
              </w:rPr>
              <w:t xml:space="preserve">Regulas Nr. 2021/1060</w:t>
            </w:r>
            <w:r w:rsidR="00000000" w:rsidRPr="00000000" w:rsidDel="00000000">
              <w:rPr>
                <w:rtl w:val="0"/>
              </w:rPr>
              <w:t xml:space="preserve"> 53. panta 1. punkta b) apakšpunktu un uz atbildīgās iestādes izstrādātajām vienas vienības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novērstu interpretācijas iespējas, lūdzam savstarpēji salāgot MK noteikuma 20.punkta redakciju ar MK noteikumu anotācijas sadaļā “Specifiskā atbalsta plānotā ietekme” sniegto informāciju, t.i., vienas vienības izmaksas metodi izstrādā atbildīgā iestāde vai sadarbības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savlaicīgi un kvalitatīvi plānotu projekta tvērumu un saturu, un sasniedzamo rezultatīvo rādītāju, lūdzam sniegt informāciju par vienas vienības izmaksas metodes par pasākumiem prioritārajās jomās, kas tiek noteiktas pamatojoties uz Regulas Nr. 2021/1060 53.panta 1. punkta b) apakšpunktu, spēkā stāšanos. Ņemot vērā minēto, lūdzam sniegt informāciju par potenciālo 4.1.2.2. pasākuma "Veselības veicināšanas un slimību profilakses pasākumu īstenošana vietējai sabiedrība" atlases norises laiku.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noteikumus ar punktu, kas paredz avansa un starpposma maksājumu saņemšanas iespējas projekta īstenotājiem – pašvaldībām. Vēršam uzmanību, ka pašvaldību aizņemšanās apjoma palielināšana projektu īstenošanai atstātu negatīvu ietekmi uz valdības sektora kopējo parāda apjomu, ietekmējot valsts kopējos finanšu stabilitātes rādītājus un ņemot vērā straujo % likmju kāpumu, palielinās finanšu slogu pašvaldību budžetiem.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MK noteikumu projektu papildināt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šo noteikumu 18. punktā minēto atbalstāmo darbību izmaksu veikšanai sadarbības iestāde finansējuma saņēmējam veic avansa un starpposma maksājumus atbilstoši normatīvajiem aktiem par valsts budžeta līdzekļu plānošanas kārtību Eiropas Savienības fondu projektu īstenošanai un maksājumu veikšanai 2021.-2027. gada plānošanas periodā, nodrošinot avansa un starpposma maksājumu kopsummu 90 procentu apmērā no projekta apstiprinātā kopējā attiecināmā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Finansējuma saņēmēji uzkrāj šādus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interpretācijas iespējas, lūdzam MK noteikumu projekta anotāciju papildināt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plānots uzkrāt Ministru kabineta noteikumu projekta 31.1. un 32.2. apakšpunktā minētos datus (t.sk. norādot vidi, kurā datus plānots uzkrāt, piemēram e-vide vai KPVIS sistēma, vai paredzētas VM izstrādātas papīra anketas?);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kāda metodika tiks piemērota vai uzdota finansējuma saņēmējam, lai ievāktu 31.1. un 31.2.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vai dati jāuzkrāj par visiem pakalpojuma saņēmējiem jebkurā pakalpojuma apjomā (t.i., jāievāc dati par jebkuru pasākuma apmeklētāju vai tikai par tiem apmeklētājiem, kuri apmeklē pasākumus līdz 8 stundām) vai tikai pie noteikta pakalpojuma apjoma (piemēram, pārsniedzot 8 stundu pakalpojuma apjoma). Papildus minētajam lūdzam sniegt skaidrojumu, vai pasākuma apmeklētības apliecināšanai būs nepieciešami tikai dalībnieku saraksti.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25.07.2023.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25.07.2023.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