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16. aprīļa noteikumos Nr. 158 "Noteikumi par tehnisko specifikāciju šaujamieroča pārveidošanai par salūtieroci (akustisko ieroci) un salūtieroča (akustiskā ieroča) apliecinājuma izsniegšanas, reģistrēšanas un valsts nodevas maksāšanas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17.05.2024.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17.05.2024.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Atzinumi_23-TA-3221.docx</dc:title>
</cp:coreProperties>
</file>

<file path=docProps/custom.xml><?xml version="1.0" encoding="utf-8"?>
<Properties xmlns="http://schemas.openxmlformats.org/officeDocument/2006/custom-properties" xmlns:vt="http://schemas.openxmlformats.org/officeDocument/2006/docPropsVTypes"/>
</file>