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minimālajām kiberdrošības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IKT resursu un informācijas sistēmu katalogs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skaidri noteikt </w:t>
            </w:r>
            <w:r w:rsidR="00000000" w:rsidRPr="00000000" w:rsidDel="00000000">
              <w:rPr>
                <w:b w:val="1"/>
                <w:rtl w:val="0"/>
              </w:rPr>
              <w:t xml:space="preserve">minimālo</w:t>
            </w:r>
            <w:r w:rsidR="00000000" w:rsidRPr="00000000" w:rsidDel="00000000">
              <w:rPr>
                <w:rtl w:val="0"/>
              </w:rPr>
              <w:t xml:space="preserve"> IKT resursu un informācijas sistēmu katalogā uzturamo informāciju. Anotācijā uzskaitītās informācijas uzturēšana iestādēm ar  lielu IT infrastruktūru un Informācijas sistēmu skaitu prasītu nesamērīgi lielu administratīvo ieguldījumu.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katram informācijas resursam norādīt klasifikāciju, īpašnieku, piekļuves veidu. To samērīgi būtu attiecināt tikai uz Informācijas sistēmām.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Elgita Strazdiņa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92.4. kiberincidents rada vai var radīt ietekmi uz ierobežotas pieejamības vai klasificētās informācijas konfidencialitāti, integritāti vai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vārdus "var radīt ", jo tādējādi jāziņo par pilnīgi visām identificētajām ievainojamībām vai ielaušanās mēģinājumiem,  jo tie teorētiski,  pie noteiktiem apstākļiem, var ietekmēt ierobežotas pieejamības vai klasificētās informācijas konfidencialitāti, integritāti vai pieejamību.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92.4. kiberincidents ietekmē ierobežotas pieejamības vai klasificētās informācijas konfidencialitāti, integritāti vai pieejamību A klases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Elgita Strazdiņa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92.5. kiberincidents ir izraisījis vai var izraisīt būtiskā vai svarīgā pakalpojuma saņemšanas vai IKT kritiskās infrastruktūras funkcionēšanas traucējumus;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vārdus "var izraisīt ", jo kritiskās infrastruktūras turētājiem tādējādi jāziņo par pilnīgi visiem kiberincidentiem, jo tie teorētiski var radīt funkcionēšanas vai pieejamības traucējumus.  Un subjekts var noteikt kritērijus incidentiem, kas nav uzskatāmi par nozīmīgiem (piemēram, nepieejamības laiks A klases informācijas sistēmai ir zem 2 h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92.5. kiberincidents ir izraisījis būtiskā vai svarīgā pakalpojuma saņemšanas vai IKT kritiskās infrastruktūras funkcionēšanas traucējumus. Subjekts var noteikt kritērijus incidentiem, kas nav uzskatāmi par nozīmīgiem (piemēram, nepieejamības laiks A klases informācijas sistēmai ir zem 4 stundām);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Elgita Strazdiņa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punktā “Cita informācija” norādīto atsauci uz  noteikumu projekta 92. punktu, jo  papildu prasības kiberincidentu novēršanas institūcijām ir noteiktas noteikumu projekta 90.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02.10.2024.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02.10.2024.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