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Aizdevuma piešķiršanas nosacījumi atsavināmās zemes izpirkšanai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noteikumu projekta 19.</w:t>
            </w:r>
            <w:r w:rsidR="00000000" w:rsidRPr="00000000" w:rsidDel="00000000">
              <w:rPr>
                <w:vertAlign w:val="superscript"/>
                <w:rtl w:val="0"/>
              </w:rPr>
              <w:t xml:space="preserve">2</w:t>
            </w:r>
            <w:r w:rsidR="00000000" w:rsidRPr="00000000" w:rsidDel="00000000">
              <w:rPr>
                <w:rtl w:val="0"/>
              </w:rPr>
              <w:t xml:space="preserve">8. apakšpunktu, kurā noteikta obligātā prasība par nepieciešamību saņemt cita finansētāja atteikumu, lai saņemtu Altum aizdevumu, vai arī lūdzam noteikumu projektu papildināt ar alternatīvu risinājumu, kā Altum pārliecināsies, ka citi finansētāji attiecīgajam atbalsta saņēmējam kredītu nesniedz, ar attiecīgu skaidrojumu papildinot arī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Eiropas Komisijas lēmums SA.100013 (2022/N) – Latvia Funding and remit of Altum until 2029 skaidri nosaka, ka Altum atbalstu drīkst sniegt tikai tirgus nepilnību apstākļos, proti, šajā gadījumā tikai tad, ja citi finansētāji tirgū tos nesniedz. Programmas ietvaros ir jāpārliecinās, ka Altum sniedzot aizdevumu nekonkurē ar citiem finansētājiem, kropļojot tirgu. Ekonomikas ministrija skaidrojums anotācijā, "ka ANM DME programmā mazāk kā 10% projektus finansē citi finansētāji. [..] Turklāt ANM DME programmas finansējums ļauj izsniegt aizdevumus ar 3.9% likmi, savukārt kredītiestāžu aizdevumu izmaksās tikai resursu izmaksas (EURIBOR) vien ir ap 4%." var liecināt, ka Altum sniedzot aizdevumu ar zemāku % likmi nekā kredītiestāde, kropļo tirgu un tieši tāpēc programmā mazāk kā 10% projektus finansē citi finansētāji.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Mūrniece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14.06.2024.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24-TA-1027</w:t>
    </w:r>
    <w:r>
      <w:br/>
    </w:r>
    <w:r w:rsidR="00000000" w:rsidRPr="00000000" w:rsidDel="00000000">
      <w:rPr>
        <w:rtl w:val="0"/>
      </w:rPr>
      <w:t xml:space="preserve">Izdrukāts 14.06.2024.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Atzinumi_24-TA-1027.docx</dc:title>
</cp:coreProperties>
</file>

<file path=docProps/custom.xml><?xml version="1.0" encoding="utf-8"?>
<Properties xmlns="http://schemas.openxmlformats.org/officeDocument/2006/custom-properties" xmlns:vt="http://schemas.openxmlformats.org/officeDocument/2006/docPropsVTypes"/>
</file>