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Atbalstam, ko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maksimāli pieļaujamā atbalsta intensitāte no projekta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brīža noteikumu projekta 35.1. apakšpunkta redakcija izslēdz no atbalsta saņēmēju loka visus atbalsta saņēmējus, kas atrodas Pierīgas reģionā. Lūdzam pārskatīt un pārliecināties, vai Pierīgas reģiona atbalsta saņēmēju izslēgšana no atbalsta saņēmēju loka ir Ekonomikas ministrijas mērķis un, pēc nepieciešamības, precizēt 35.1. un arī  36.1. apakšpunkta apakšpunktu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anotāciju ar informāciju, ka šīs atbalsta programmas ietvaros tiek izmantots arī Taisnīgas pārkārtošanās fonda atbalsta intensitātes bonuss, kā arī ietvert skaidrojumu un aprēķinu anotācijā, kā šīs atbalsta programmas ietvaros tiek aprēķināti noteikumu projekta 35.punkta apakšpunktos minēto atbalsta intensitāšu apmēri (bāzes intensitāte + MVU bonuss/ mazapdzīvoto reģionu bonuss/ Taisnīgās pārkārtošanās fonda bonuss).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Piemērot principu "nenodarīt būtisku kaitējumu" saskaņā ar regulas Nr. 2021/241 5. panta 2. punktu. Sabiedrība "Altum" ar gala labuma guvēju iekļauj informāciju, ka neatbalsta iniciatīvas, kas nodara būtisku kaitējumu. Šī apakšpunkta prasību ievērošana jānodrošina visa gala labuma guvēja investīciju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Padomes Īstenošanas lēmuma par Latvijas atveseļošanas un noturības plāna novērtējuma apstiprināšanu, pie 2.2.1.4i. investīcija "Finanšu instrumenti komersantu digitālās transformācijas veicināšanai" noteikto: </w:t>
            </w:r>
            <w:r w:rsidR="00000000" w:rsidRPr="00000000" w:rsidDel="00000000">
              <w:rPr>
                <w:i w:val="1"/>
                <w:rtl w:val="0"/>
              </w:rPr>
              <w:t xml:space="preserve">lai nodrošinātu, ka pasākums atbilst Tehniskajiem norādījumiem par principa “nenodarīt būtisku kaitējumu” piemērošanu (2021/C58/01), ar atbilstības kritērijiem, kas ietverti darba uzdevumā gaidāmajiem uzaicinājumiem iesniegt projektus, izslēdz šādu darbību sarakstu: i) darbības, kas saistītas ar fosilo kurināmo, tostarp pakārtotu izmantošanu; ii) darbības ES emisijas kvotu tirdzniecības sistēmas (ETS) ietvaros, kas panāk tādu prognozēto siltumnīcefekta gāzu emisiju līmeni, kas nav zemāks par attiecīgajām līmeņatzīmēm; iii) darbības, kas saistītas ar atkritumu poligoniem, incineratoriem un mehāniski bioloģiskās apstrādes iekārtām; un iv) darbības, kuru rezultātā atkritumu ilgtermiņa apglabāšana var radīt kaitējumu videi. Darba uzdevumā papildus nosaka, ka var izvēlēties tikai tās darbības, kas atbilst attiecīgajiem ES un valsts tiesību aktiem vides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spēkā esošā 2.2.1.4.i investīcijas īstenošanas noteikumu 62.11., 62.12., 62.13. un 62.14.apakšpunkta redakcija ir labāk piemērota nekā jaunā 62.punkta redakcija.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Atbalsts gala labuma guvējam netiek sniegts, ja tas darbojas: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kā neatbalstāmas finanšu un apdrošināšanas darbības (NACE 2. red. K sadaļa "Finanšu un apdrošināšanas darbības"). Vai lūdzam anotācijas 1.3.sadaļā sniegt pamatojumu, kāpēc šīs darbības AF ietvaros būtu atbalstāmas.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Pārejas periods piemērots Eiropas Komisijas apstiprinātos grozījumus Komisijas regulā Nr.651/2014, līdz brīdim, kad tie stāsies spēkā, nākamajā dienā pēc to publicēšanas Eiropas Savienības Oficiālajā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nepārprotamai izpratnei aicinām izteikt noteikumu projekta 65.punktu, piemēram,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Šo noteikumu normas, kas pārņemtas ar Komisijas regulas Nr.651/2014 grozījumiem, stāsies spēkā pēc tam, kad stāsies spēkā grozījumi Komisijas regulā Nr.651/2014, t.i., nākamajā dienā pēc to publicēšanas Eiropas Savienības Oficiālajā Vēstnesī. Pārejas periodā tiek piemēroti Komisijas regulas Nr.651/2014 spēkā esošie nosacījumi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papildināt noteikumu projekta punktu atbilstības izvērtējumu anotācijas V sadaļas (Tiesību akta projekta atbilstība Latvijas Republikas starptautiskajām saistībām) 1.tabulā, ņemot vērā, ka tajā nav ietverti visi noteikumu (grozījumu) projekta punkti, kuros, piemēram, ietverti Komisijas regulas Nr.651/2014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62.10. aizdevumu refinansēšanai un restrukturēšanai, ja atbalstu piešķir saskaņā ar šo noteikumu </w:t>
            </w:r>
            <w:r w:rsidR="00000000" w:rsidRPr="00000000" w:rsidDel="00000000">
              <w:rPr>
                <w:rtl w:val="0"/>
              </w:rPr>
              <w:t xml:space="preserve">22.</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62.10.apakšpunkts neiederās zem 62.punkta, attiecīgi lūdzam to pārcelt zem 62.</w:t>
            </w:r>
            <w:r w:rsidR="00000000" w:rsidRPr="00000000" w:rsidDel="00000000">
              <w:rPr>
                <w:vertAlign w:val="superscript"/>
                <w:rtl w:val="0"/>
              </w:rPr>
              <w:t xml:space="preserve">1</w:t>
            </w:r>
            <w:r w:rsidR="00000000" w:rsidRPr="00000000" w:rsidDel="00000000">
              <w:rPr>
                <w:rtl w:val="0"/>
              </w:rPr>
              <w:t xml:space="preserve">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1. Komisijas regulas Nr. 1407/2013 1. panta 1. un 2. punktā un 3. panta 2. punktā noteiktajās neatbalstāmajās nozarēs un darbībās un pretendē uz atbalstu saskaņā ar Komisijas regulu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tehnisku precizējumu noteikumu projekta 62.</w:t>
            </w:r>
            <w:r w:rsidR="00000000" w:rsidRPr="00000000" w:rsidDel="00000000">
              <w:rPr>
                <w:vertAlign w:val="superscript"/>
                <w:rtl w:val="0"/>
              </w:rPr>
              <w:t xml:space="preserve">1</w:t>
            </w:r>
            <w:r w:rsidR="00000000" w:rsidRPr="00000000" w:rsidDel="00000000">
              <w:rPr>
                <w:rtl w:val="0"/>
              </w:rPr>
              <w:t xml:space="preserve">1.punktā, norādot, ka atbalstu nepiešķir saimnieciskās darbības nozarēm un darbībām, kuras minētas Komisijas regulas Nr.1407/2013 1.panta 1.punktā. Vēršam uzmanību, ka Komisijas regulas Nr.1407/2013  3.panta 2.punktā ir ietverts nosacījums par de minimis robežvērtībām, kā arī par to, ka Komisijas regulas Nr.1407/2013 de minimis atbalstu nevar izmantot kravas transportlīdzekļu iegādei, nevis neatbalstāmā nozare, līdz ar ko aicinām redakcionāli precizēt noteikumu projekta 62.</w:t>
            </w:r>
            <w:r w:rsidR="00000000" w:rsidRPr="00000000" w:rsidDel="00000000">
              <w:rPr>
                <w:vertAlign w:val="superscript"/>
                <w:rtl w:val="0"/>
              </w:rPr>
              <w:t xml:space="preserve">1</w:t>
            </w:r>
            <w:r w:rsidR="00000000" w:rsidRPr="00000000" w:rsidDel="00000000">
              <w:rPr>
                <w:rtl w:val="0"/>
              </w:rPr>
              <w:t xml:space="preserve">1.punktu. Vienlaikus vēršam uzmanību, ka Komisijas regulas Nr.1407/2013 1.panta 2.punkta nosacījums par nozaru darbību vai izmaksu nodalīšanu no tām darbībām, kurām piešķirts de minimis atbalsts ir jau ietverts noteikumu projekta 47.2.apakšpunktā, līdz ar ko aicinām precizēt 62.</w:t>
            </w:r>
            <w:r w:rsidR="00000000" w:rsidRPr="00000000" w:rsidDel="00000000">
              <w:rPr>
                <w:vertAlign w:val="superscript"/>
                <w:rtl w:val="0"/>
              </w:rPr>
              <w:t xml:space="preserve">1</w:t>
            </w:r>
            <w:r w:rsidR="00000000" w:rsidRPr="00000000" w:rsidDel="00000000">
              <w:rPr>
                <w:rtl w:val="0"/>
              </w:rPr>
              <w:t xml:space="preserve">1.punkta redakciju, nedublējot atsauci uz Komisijas regulas Nr.1407/2013 1.panta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08.06.2023.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08.06.2023.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