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Veselības ministrija nominē iestādi (Latvijas kompetento pārstāvi), lai Latvijas iestādes varētu piedalīties vienotajās rīcībās un tiešajās dotācijās. Līdzās kompetentajām iestādēm norādītas arī atsevišķas saistītās iestādes. Attiecīgi, iesakām papildināt informatīvā ziņojuma skaidrojumu par nepieciešamību nominēt kompetento iestādi ("Nominēšana" piektā rindkopa) arī ar informāciju par saistīto iestāžu lomu un nominēšanu, tādā veidā nodrošinot pilnīgāku izpratni par minēto kompetento un saistīto iestāžu lomu, saistību u.c. būtisko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nepieteikto saīsinājumu "AMR", "HTA", "EEZ", "LV" "Savienība" un tam paralēli lietoto, pieteikto saīsinājumu "ES", uz terminu "Eiropas References tīkli" un tā pieteikto saīsinājumu "ERN", terminu "Eiropas Komisija", tā pieteikto saīsinājumu "Komisija/EK" un informatīvajā ziņojumā lietotajiem saīsinājumiem "EK" un "Komisija", saīsinājumu "MK noteikumi Nr.421", kā arī tādu nepieteiktu saīsinājumiem kā piemēram "Komisijas 2021.gada 16. septembra lēmums".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izveidoti vairāki saīsinājumi, kas saistīti ar vienotajām rīcībām, piemēram, "vienotā rīcība ERN" un tajā pašā laikā tiek lietots apzīmējums "vienotā rīcība", iesakām pārbaudīt vai nav nepieciešams veikt precizējumu, piemēram, lietojot šādu saīsinājumu secinājumu daļā nav skaidrs uz kuru no informatīvajā ziņojumā minētajām vienotajām rīcībām tiek attiecināta sniegtā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Eiropas Komisijas izveidotās Savienības rīcības programmas veselības jomā (programma “ES – veselībai” – EU4Health)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Lūdzam ievērot juridiskās tehnikas prasības arī attiecībā uz to, ka, nepieciešamības gadījumā, saīsinājumu piesaka pirmajā vietā juridiskajā tekstā, kur lietots attiecīgais normatīvā akta nosaukums, tādā veidā izvairoties no vispārinātām, neprecīzām atsaucēm uz normatīvajiem aktiem, piemēram, Eiropas Parlamenta un Padomes 2014. gada 11. marta regula (ES) Nr.282/2014, ar ko izveido trešo Savienības rīcības programmu veselības jomā (2014.–2020. gads) un atceļ Lēmumu Nr. 1350/2007/EK (turpmāk - Regula Nr.282/2014) vai Eiropas Parlamenta un Padomes 2021. gada 24. marta Regula (ES) 2021/522, ar ko izveido Savienības rīcības programmu veselības jomā (programma “ES – veselībai”) 2021.–2027. gadam un atceļ Regulu (ES) Nr. 282/2014 (turpmāk - Regula Nr.2021/522).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(Slimību profilakses un kontroles centram un Nacionālajam veselības dienestam) uzņemties valsts budžeta ilgtermiņa saistības “Eiropas Komisijas izveidotās Savienības rīcības programmas veselības jomā (programma “ES – veselībai” – EU4Health) 2021. – 2027. gadam” (turpmāk - EK Veselības programma) 2022. gada Darba plānā ietvertās vienotās rīcības par neinfekcijas slimību profilaksi (NCDs) – sirds un asinsvadu slimības un diabēts (EU4H-2022-JA-03 Direct grants to Member States’ authorities: prevention of NCDs – cardiovascular diseases and diabetes (AWP Ref: DP-g-22-06.03)) (turpmāk - vienotā rīcība NCD) un tiešās dotācijas dalībvalstu iestādēm: paplašināt MyHealth@EU digitālo pakalpojumu infrastruktūru (eHDSI) ar jauniem pakalpojumiem un vairākām dalībvalstīm (EU4H-2022-DGA-MS-IBA-03: Direct grants to Member States’ authorities: expansion of MyHealth@EU Digital Service Infrastructure (eHDSI) with new services and to more Member States (AWP Ref: DI-g-22-21.01)) (turpmāk – tiešā dotācija LPLDE)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dalīt protokollēmuma projekta 2. punktu, jo pašreizējā formulējumā netiek nošķirti divi atsevišķi projekti, kuros iesaistītas Veselības ministrijas iestādes Slimību profilakses un kontroles centrs un Nacionālais veselības dienests. No esošā formulējuma šķietami saprotams, ka abas iestādes ir iesaistītas abos projektos un Veselības ministrija (Slimību profilakses un kontroles centrs un Nacionālais veselības dienests) uzņemas valsts budžeta ilgtermiņa saistības, nenodalot kurai Veselības ministrijas iestādei tiek atļauts uzņemties no kura projekta izrietošās ilgtermiņa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nepieciešamo valsts budžeta finansējumu EK Veselības programmas 2022. gada Darba plānā ietvertās vienotās rīcības NCD un tiešās dotācijas LPLDE īstenošanai laika posmā no 2023.gada līdz 2026.gadam ne vairāk kā 943 591 euro apmērā valsts budžeta līdzfinansējuma nodrošināšanai un kopumā ne vairāk kā 275 855 euro valsts budžeta priekšfinansējuma nodrošināšanai pārdalīt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dalīt protokollēmuma projekta 3. punktu divos atsevišķos, jo pašreizējā redakcijā vienkopus atspoguļots papildus nepieciešamais valsts budžeta finansējums diviem atsevišķiem projektiem (nepieciešamais finansējums tiek summēts), visam projekta laikam. Attiecīgi nav skaidrs, kāds ir katram projektam papildus nepieciešamais valsts budžeta finansējums. Tāpat iesakām 3. punktā konkrēti norādīt finansējuma apmēru, kas nepieciešams katra gada ietvaros, pašreizējais formulējums vispārīgi norāda, kāds ir maksimāli iespējamais nepieciešamais papildus finansējums to sīkāk nekonkretizējot. Veiktos precizējumus lūdzam atspoguļot arī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15.06.2023.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15.06.2023.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