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Izložu un azartspēļu uzraudzības inspekcijas pievienošanu Valsts ieņēmumu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1. aprīlim iesniegt normatīvajos aktos noteiktā kārtībā Ministru kabinetā grozījumus šādos ministru kabineta noteikumos un rīkojumā – Ministru kabineta 2024. gada 17. decembra noteikumos Nr. 816 “Noteikumi par Oficiālās statistikas programmu 2025.–2027. gadam”,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Ministru kabineta 2022. gada 4. oktobra noteikumos Nr. 616 “Elektronisko sakaru komersantam pieprasīto noslodzes datu nodošanas kārtība”, Ministru kabineta 2022. gada 16. augusta noteikumos Nr. 506 “Kārtība, kādā Izložu un azartspēļu uzraudzības inspekcija sagatavo un nosūta lēmumu par piekļuves ierobežošanu Latvijā nelicencētu interaktīvo azartspēļu organizētāju tīmekļvietnēm”, Ministru kabineta 2019. gada 10. decembra noteikumos Nr. 594 “Azartspēļu un izložu organizēšanas, uzraudzības un kontroles kārtība”, Ministru kabineta 2019. gada 16. jūlija noteikumos Nr. 333 “No azartspēlēm un interaktīvajām izlozēm pašatteikušos personu reģistra noteikumi”, Ministru kabineta 2019. gada 9. jūlija noteikumos Nr. 328 “Sankciju koordinācijas padomes nolikums”, Ministru kabineta 2018. gada 27. marta noteikumos Nr. 188 “Noteikumi par interaktīvās azartspēles vai interaktīvās izlozes organizēšanā izmantojamās spēles programmas atbilstības pārskatā iekļaujamo informāciju”, Ministru kabineta 2018. gada 27. marta noteikumos Nr. 189 “Interaktīvo azartspēļu, interaktīvo izložu un izložu biļešu pārdošanas un dalības maksājumu pieņemšanas organizēšanas sistēmu noteikumi”, Ministru kabineta 2017. gada 13. jūnija noteikumos Nr. 337 “Kārtība, kādā interaktīvo azartspēļu un interaktīvo izložu organizētājs iesniedz paziņojumu par pārskata ceturksni”, Ministru kabineta 2016. gada 20. decembra noteikumos Nr. 819 “Izložu un azartspēļu uzraudzības inspekcijas sniegtā maksas pakalpojuma cenrādis”, Ministru kabineta 2016. gada 20. decembra noteikumos Nr. 821 “Noteikumi par vienotās azartspēļu automātu kontroles un uzraudzības sistēmas ieviešanas un uzturēšanas kārtību, sistēmā iekļaujamiem datiem un to apmaiņas kārtību”, Ministru kabineta 2015. gada 6. janvāra noteikumos Nr. 7 “Kārtība, kādā iesniedzams ziņojums par azartspēļu un izložu organizēšanu”, Ministru kabineta 2014. gada 11. februāra noteikumos Nr. 96 “Nodokļu un citu maksājumu reģistrēšanas elektronisko ierīču un iekārtu lietošanas kārtība”, Ministru kabineta 2007. gada 10. aprīļa noteikumos Nr. 252 “Azartspēļu automāta, iekārtas un spēļu automāta spēles programmas reģistrācijas kārtība”, Ministru kabineta 2007. gada 2. janvāra noteikumos Nr. 16 “Preču un pakalpojumu loteriju organizēšanas uzraudzības un kontroles kārtība”, Ministru kabineta 2006. gada 19. decembra noteikumos Nr. 1043 “Azartspēļu un izložu organizācijas vienotā grāmatvedības uzskaites kārtība”, Ministru kabineta 2006. gada 19. septembra noteikumos Nr. 771 “Kazino apmeklētāju reģistrācijas un kazino apmeklētāju reģistrā iekļaujamās informācijas apstrādes kārtība”, Ministru kabineta 2006. gada 5. septembra noteikumos Nr. 741 “Kārtība, kādā biedrības, arodbiedrības un reliģiskās organizācijas saņem licenci vietēja mēroga vienreizējo izložu organizēšanai”, Ministru kabineta 2004. gada 25. marta noteikumos Nr. 176 “Izložu un azartspēļu uzraudzības inspekcijas nolikums”, Ministru kabineta 2003. gada 16. decembra noteikumos Nr. 701 “Ziņojuma par preču vai pakalpojumu loterijas organizēšanu iesniegšanas kārtība”, Ministru kabineta 2003. gada 29. aprīļa noteikumos Nr. 239 “Finanšu ministrijas nolikums”, Ministru kabineta 2018. gada 19. jūnija noteikumos Nr. 345 “Valsts ieņēmumu dienesta maksas pakalpojumu cenrādis”, Ministru kabineta 2025. gada 25. jūnija noteikumos Nr. 378 “Valsts ieņēmumu dienesta nolikums” un Ministru kabineta 2016. gada 8. novembra rīkojumā Nr. 665 "Par atļauju Finanšu ministrijai uzņemties valsts budžeta ilgtermiņa saistības, lai nodrošinātu Izložu un azartspēļu uzraudzības inspekcijas dalības maksu starptautiskajā organizācijā “Eiropas azartspēļu uzraudzības iestāžu forums””.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ir nepieciešams veikt grozījumus visos uzskaitītajos Ministru kabineta noteikumos līdz 2026. gada 1. aprīlim, ņemot vērā normatīvo aktu daudzumu, kuros ir nepieciešams veikt izmaiņas un kuras pēc būtības ir tehniskas. Ierosinām sākotnēji veikt grozījumus tajos Ministru kabineta noteikumos, kuri skar privātpersonu intereses. Savukārt attiecībā uz pārējiem Ministru kabineta noteikumiem, - veikt grozījumus kopā ar citiem būtiskiem grozījumiem, kā arī Azartspēļu un izložu likuma pārejas noteikumus papildināt ar normu, kas noteic, ka līdz grozījumu veikšanai normatīvajos aktos Izložu un azartspēļu uzraudzības inspekcija ir saprotama kā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Ierēdņiem, kuri ar 2026. gada 1. aprīli tiek pārcelti uz Valsts ieņēmumu dienestu, saglabāt ikgadējā atvaļinājuma darba gada periodu, kā arī neizmantoto Darba likumā noteikto obligāti piešķiramo papildatvaļinājumu, ikgadējā apmaksātā atvaļinājuma uzkrājumu un neizmantoto papildatvaļinājumu par darba izpildes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rīkojuma projektu vai anotāciju ar informāciju, vai pārceltajiem ierēdņiem un darbiniekiem tiks saglabāts arī atalgojums vismaz tādā pašā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Atzinumi_25-TA-2066.docx</dc:title>
</cp:coreProperties>
</file>

<file path=docProps/custom.xml><?xml version="1.0" encoding="utf-8"?>
<Properties xmlns="http://schemas.openxmlformats.org/officeDocument/2006/custom-properties" xmlns:vt="http://schemas.openxmlformats.org/officeDocument/2006/docPropsVTypes"/>
</file>