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 Par telpu Klusajā ielā 12, Rīgā, nodošanu bezatlīdzības lietošanā sabiedriskā labuma organizācijai biedrībai "Kikboksa un boksa skola "Rīga"".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lūdzam anotācijā </w:t>
            </w:r>
            <w:r w:rsidR="00000000" w:rsidRPr="00000000" w:rsidDel="00000000">
              <w:rPr>
                <w:u w:val="single"/>
                <w:rtl w:val="0"/>
              </w:rPr>
              <w:t xml:space="preserve">pilnībā citēt </w:t>
            </w:r>
            <w:r w:rsidR="00000000" w:rsidRPr="00000000" w:rsidDel="00000000">
              <w:rPr>
                <w:rtl w:val="0"/>
              </w:rPr>
              <w:t xml:space="preserve">Publikas personas finanšu līdzekļu un mantas izšķērdēšanas novēršanas likuma </w:t>
            </w:r>
            <w:r w:rsidR="00000000" w:rsidRPr="00000000" w:rsidDel="00000000">
              <w:rPr>
                <w:u w:val="single"/>
                <w:rtl w:val="0"/>
              </w:rPr>
              <w:t xml:space="preserve">5.panta piekto daļu</w:t>
            </w:r>
            <w:r w:rsidR="00000000" w:rsidRPr="00000000" w:rsidDel="00000000">
              <w:rPr>
                <w:rtl w:val="0"/>
              </w:rPr>
              <w:t xml:space="preserve">, t.i., pierakstot klāt: “Publiskas personas mantu bezatlīdzības lietošanā sabiedriskā labuma organizācijai vai sociālajam uzņēmumam var nodot atkārtoti”.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arī izziņā norādīts, ka priekšlikums ir ņemts vērā, tas neatspoguļojas anotācijā.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Māris Gerlovess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23-TA-2563</w:t>
    </w:r>
    <w:r>
      <w:br/>
    </w:r>
    <w:r w:rsidR="00000000" w:rsidRPr="00000000" w:rsidDel="00000000">
      <w:rPr>
        <w:rtl w:val="0"/>
      </w:rPr>
      <w:t xml:space="preserve">Izdrukāts 29.02.2024. 23.29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23-TA-2563</w:t>
    </w:r>
    <w:r>
      <w:br/>
    </w:r>
    <w:r w:rsidR="00000000" w:rsidRPr="00000000" w:rsidDel="00000000">
      <w:rPr>
        <w:rtl w:val="0"/>
      </w:rPr>
      <w:t xml:space="preserve">Izdrukāts 29.02.2024. 23.29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