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Mēslošanas līdzekļu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4.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Mēslošanas līdzekļu aprites likuma 3.panta pirmās daļas sestajā punktā, ir nepieciešami attiecīgie grozījumi arī likuma 4.panta ceturtās daļas ievaddaļā, lietojot apzīmējumu - amonija nitrāta mēslošanas līdzeklis ar augstu slāpekļa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Izteikt 5.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grozījumu Mēslošanas līdzekļu aprites likuma 5.pantā izteikt kā atsevišķu pantu, nevis apvienot ar grozījumiem minētā likuma 4.pantā.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"18. Dienests līdz 2027. gada 1. martam no reģistra izslēdz mēslošanas līdzekļus ar marķējumu "EK mēslošanas līdzeklis". Pēc 2027. gada 1. marta tirgū atļauts darīt pieejamus tos EK mēslošanas līdzekļus, kas ražoti līdz 2022. gada 15.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Dienests no reģistra izslēdz ES mēslošanas līdzekļus ar CE zīmi pēc tam, kad ir iestājies pēdējais no šādiem datumiem: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2027. gada 1. marts;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datums, līdz kuram ES mēslošanas līdzekļi ar CE zīmi ir atļauts izmantot bioloģiskajā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pieci gadi pēc datuma, kad ES mēslošanas līdzeklis ar CE zīmi iekļauts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Ministru kabinets līdz 2027. gada 1. decembrim izdara grozījumus šādos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2015. gada 1. septembra noteikumos Nr. 506 "Mēslošanas līdzekļu un substrātu identifikācijas, kvalitātes atbilstības novērtēšanas un tirdzniecības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2007. gada 30. janvāra noteikumos Nr. 83 "Noteikumi par valsts nodevu par mēslošanas līdzekļa un substrāta reģistrāciju vai atļaujas saņemšanu mēslošanas līdzekļa un substrāta ievešanai vai tirdzniecībai, kā arī tās maksāšanas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likumprojektu tiek izslēgta valsts nodeva par "atļaujas saņemšanu mēslošanas līdzekļa un substrāta ievešanai vai tirdzniecībai", aicinām izvērtēt nepieciešamību pārejas noteikumus precizēt, lai izvairītos no situācijas, kad no likuma nodeva izslēgta, taču noteikumos tā joprojām ir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iespējamais risinājums varētu būt jau anotācijā ietvertais (taču attiecīgajā normā tas neuzrādās):</w:t>
            </w:r>
            <w:r w:rsidR="00000000" w:rsidRPr="00000000" w:rsidDel="00000000">
              <w:rPr>
                <w:i w:val="1"/>
                <w:rtl w:val="0"/>
              </w:rPr>
              <w:t xml:space="preserve"> "Likums papildināts ar pārejas noteikumu 20. punktu, nosakot, ka līdz atbilstošo Ministru kabineta noteikumu spēkā stāšanās dienai, bet ne ilgāk kā līdz 2027. gada 1. decembrim ir piemērojami pašlaik spēkā esošie noteikumi Nr. 506 un noteikumi Nr. 83, ciktāl tie nav pretrunā ar šo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likumprojektā iekļauto normu īstenošanu Valsts augu aizsardzības dienests nodrošinās esošo budžeta līdzekļu ietvaros, neradot negatīvu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sadaļas punktā "Cita informācija" sniegt skaidrojumu, ka grozījumi likuma 16.pantā neietekmē paredzētos ieņēmumus no nodevas un tie saglabāsies iepriekš plānotajā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nerada fiskālo ietekmi, un plānotie ieņēmumi no nodevas saglabāsies iepriekš plānotajā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25-TA-2577</w:t>
    </w:r>
    <w:r>
      <w:br/>
    </w:r>
    <w:r w:rsidR="00000000" w:rsidRPr="00000000" w:rsidDel="00000000">
      <w:rPr>
        <w:rtl w:val="0"/>
      </w:rPr>
      <w:t xml:space="preserve">Izdrukāts 16.07.2026.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25-TA-2577</w:t>
    </w:r>
    <w:r>
      <w:br/>
    </w:r>
    <w:r w:rsidR="00000000" w:rsidRPr="00000000" w:rsidDel="00000000">
      <w:rPr>
        <w:rtl w:val="0"/>
      </w:rPr>
      <w:t xml:space="preserve">Izdrukāts 16.07.2026.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Atzinumi_25-TA-2577.docx</dc:title>
</cp:coreProperties>
</file>

<file path=docProps/custom.xml><?xml version="1.0" encoding="utf-8"?>
<Properties xmlns="http://schemas.openxmlformats.org/officeDocument/2006/custom-properties" xmlns:vt="http://schemas.openxmlformats.org/officeDocument/2006/docPropsVTypes"/>
</file>