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III.sadaļu ar nosacījumu, ka tiks nodrošināts nepārklāšanās princips ar citiem valsts un ārvalstu finanšu atbalsta instrumentiem un dubultā finansējuma neiestāšanos, kā arī atbilstoši komercdarbības atbalsta regulējamam – atbalsta summēšanas (kumulācijas) nosacījumu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projekta īstenošanai nepieciešamās informācijas iegūšanas izmaksas finansējuma saņēmējam un sadarbības partnerim šo noteikumu </w:t>
            </w:r>
            <w:r w:rsidR="00000000" w:rsidRPr="00000000" w:rsidDel="00000000">
              <w:rPr>
                <w:rtl w:val="0"/>
              </w:rPr>
              <w:t xml:space="preserve">13.1. </w:t>
            </w:r>
            <w:r w:rsidR="00000000" w:rsidRPr="00000000" w:rsidDel="00000000">
              <w:rPr>
                <w:rtl w:val="0"/>
              </w:rPr>
              <w:t xml:space="preserve">un 13.2. </w:t>
            </w:r>
            <w:r w:rsidR="00000000" w:rsidRPr="00000000" w:rsidDel="00000000">
              <w:rPr>
                <w:rtl w:val="0"/>
              </w:rPr>
              <w:t xml:space="preserve">apakšpunktā minētās atbalstāmās darbības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anotācijā precizēt, kādas tieši informācijas iegūšanas izmaksas šeit ir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darba vietas aprīkojuma iegādei vai nomai, tai skaitā aprīkojuma uzturēšanai un remontam, finansējuma saņēmēja un sadarbības partnera projekta īstenošanas un vadības personālam jaunu darba vietu radīšanai vai esošo darba vietu atjaunošanai var plānot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darba vietas aprīkojuma iegādei vai nomai, tai skaitā aprīkojuma uzturēšanai un remontam, finansējuma saņēmēja un sadarbības partnera projekta īstenošanas un vadības personālam jaunu darba vietu radīšanai vai esošo darba vietu atjaunošanai var plānot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redakciju, ņemot vērā, ka nosacījums par darbinieka iesaistes periodu projektā attiecas tikai uz daļlaiku. Šobrīd MK noteikumos iekļauta stingrāka prasība, nekā to paredz VI Vadlīnijas attiecināmo izmaksu noteikšanai (Nr. 1.2.). Saskaņā ar vadlīniju 9.5.punktu darba vietas aprīkojuma izmaksas ir attiecināmas atbilstoši slodzes apmēram – darbiniekiem, kuri strādā normālo darba laiku, aprīkojuma izmaksas ir attiecināmas 100% apmērā, bet nepilna darba laika gadījumā – ņemot vērā attiecīgā darba laika proporciju. Savukārt, saskaņā ar vadlīniju 33.punktu daļlaika gadījumā jāņem vērā darbinieka iesaistes periods projektā pret projekta kopējo īstenošanas ilgumu un daļlaika proporcija darbam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noteikumu projektā citur normatīvajos aktos nenoregulētā atbalsta piešķiršanas apstrīdēšanas un pārsūdzēšanas kārtība finansējuma gala labuma guvējiem, ņemot vērā, ka šī pasākuma ietvaros pēc būtības ir gadījumos, kad plānoti daudzpakāpju projekti. Apstrīdēšanas un pārsūdzēšanas kārtībai jābūt noteiktai atbilstoši lēmuma pieņēmēja un adresāta juridiskajai formai. Apstrīdēšanas un pārsūdzēšanas kārtības atbilstošās juridiskās formas un veida noteikšana ir nozares ministrijas kā MK noteikumu par SAM īstenošanu autora un nozares politikas veidotāja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Sociālās uzņēmējdarbības uzsācēji var saņemt sadarbības partnera piešķirto atbalstu šo noteikumu </w:t>
            </w:r>
            <w:r w:rsidR="00000000" w:rsidRPr="00000000" w:rsidDel="00000000">
              <w:rPr>
                <w:rtl w:val="0"/>
              </w:rPr>
              <w:t xml:space="preserve">13.1.</w:t>
            </w:r>
            <w:r w:rsidR="00000000" w:rsidRPr="00000000" w:rsidDel="00000000">
              <w:rPr>
                <w:rtl w:val="0"/>
              </w:rPr>
              <w:t xml:space="preserve"> apakš​​​punktā minētās darbības ietvaros, ja tie ir ieguvuši sociālā uzņēmuma statusu atbilstoši Sociālā uzņēmuma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kā sadarbības partneris pārliecināsies par mērķa grupas atbilstību, ievērojot Ministru kabineta 2022.gada 13. decembra sēdes protokollēmuma (prot. Nr. 64 6. §) 3.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pretendētu uz šo noteikumu </w:t>
            </w:r>
            <w:r w:rsidR="00000000" w:rsidRPr="00000000" w:rsidDel="00000000">
              <w:rPr>
                <w:rtl w:val="0"/>
              </w:rPr>
              <w:t xml:space="preserve">13.1.</w:t>
            </w:r>
            <w:r w:rsidR="00000000" w:rsidRPr="00000000" w:rsidDel="00000000">
              <w:rPr>
                <w:rtl w:val="0"/>
              </w:rPr>
              <w:t xml:space="preserve"> apakšpunktā minēto finanšu atbalstu, sociālie uzņēmumi un sociālās uzņēmējdarbības uzsācēji iesniedz sadarbības partnerim finanšu atbalsta pieteikumu, biznesa plānu un citu ar tā īstenošanu saistīto informāciju, ja nepieciešams. Ja tiek pieņemts lēmums par finanšu atbalsta piešķiršanu,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13.2.punkts nosaka, ka atbalsts tiek piešķirts sociālās uzņēmējdarbības uzsācējiem, attiecīgi lūdzam papildināt šo noteikumu 22.punktu ar atsauci arī uz 13.2.punktu.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23.2.2. 200 000 </w:t>
            </w:r>
            <w:r w:rsidR="00000000" w:rsidRPr="00000000" w:rsidDel="00000000">
              <w:rPr>
                <w:i w:val="1"/>
                <w:rtl w:val="0"/>
              </w:rPr>
              <w:t xml:space="preserve">euro </w:t>
            </w:r>
            <w:r w:rsidR="00000000" w:rsidRPr="00000000" w:rsidDel="00000000">
              <w:rPr>
                <w:rtl w:val="0"/>
              </w:rPr>
              <w:t xml:space="preserve">– sociālajiem uzņēmumiem, kuru darbības laiks kopš reģistrācijas Latvijas Republikas Uzņēmumu reģistrā ir ilgāks par diviem gadiem. Finanšu atbalstu nosaka atbilstoši saimnieciskās darbības apjomam, nepārsniedzot 50 procentus no vidējā apgrozījuma pēdējos trijos gados un 50 procentus no apgrozījuma pēdējā gadā, tai skaitā izvēlas mazākā aprēķinātā rādītāja vērtību. Ja atbilstoši apgrozījumam aprēķinātais finanšu atbalsta apmērs ir mazāks par 40 000 </w:t>
            </w:r>
            <w:r w:rsidR="00000000" w:rsidRPr="00000000" w:rsidDel="00000000">
              <w:rPr>
                <w:i w:val="1"/>
                <w:rtl w:val="0"/>
              </w:rPr>
              <w:t xml:space="preserve">euro</w:t>
            </w:r>
            <w:r w:rsidR="00000000" w:rsidRPr="00000000" w:rsidDel="00000000">
              <w:rPr>
                <w:rtl w:val="0"/>
              </w:rPr>
              <w:t xml:space="preserve">, bet biznesa plāna īstenošanai ir nepieciešams lielāks finanšu atbalsts, to nosaka atbilstoši biznesa plānam, bet nepārsniedzot 40 000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atbalsts vienam sociālajam uzņēmumam nepārsniedz 200 tūkst. EUR, atbilstoši FM vadlīniju Nr. 1.1. “Vadlīnijas par vienkāršoto izmaksu izmantošanas iespējām un to piemērošana Eiropas Savienības kohēzijas politikas programmas 2021.–2027.gadam ietvaros” 7.punktam, sociālo uzņēmumu projektos jāpiemēro vienkāršotās izmaksas, kas aptver visas izdevumu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Sociālie uzņēmumi, kas nodarbina personas ar invaliditāti vai garīga rakstura traucējumiem, iesniedzot valsts sociālās apdrošināšanas obligāto iemaksu darba devēja daļas kompensācijas, vienreizējas darba algas kompensācijas un darba devēja izmaksātās slimības naudas kompensācijas pieteikumu,  un finansējuma saņēmējs, piešķirot kompensāciju,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kompensācija tiek piešķirta kā de minimis atbalsts ar Komisijas regulu Nr.1407/2013, lūdzam papildināt šo punktu ar apakšpunktu, pēc analoģijas kā attiecībā uz sadarbības partneri, ka atbalstu piešķirot tiek ievēroti komercdarbības atbalsta nosacījumi (sk. šo noteikumu 31.3.3.punktu).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Finanšu atbalstu biznesa plāna īstenošanai piešķir, ievērojot šo noteikumu V nodaļā minētos nosacījumus, līdz diviem gadiem no finanšu atbalsta līguma noslēgšanas dienas. Sociālais uzņēmums var saņemt finanšu atbalstu atkārtoti, ņemot vērā šo noteikumu </w:t>
            </w:r>
            <w:r w:rsidR="00000000" w:rsidRPr="00000000" w:rsidDel="00000000">
              <w:rPr>
                <w:rtl w:val="0"/>
              </w:rPr>
              <w:t xml:space="preserve">23.2.1.</w:t>
            </w:r>
            <w:r w:rsidR="00000000" w:rsidRPr="00000000" w:rsidDel="00000000">
              <w:rPr>
                <w:rtl w:val="0"/>
              </w:rPr>
              <w:t xml:space="preserve"> apakšpunktā minēto ierobežojumu, ja ir pagājuši vismaz 24 mēneši no iepriekšējā finanšu atbalsta līguma noslēgšanas dienas, ir iesniegts pārskats par iepriekšējā biznesa plāna īstenošanu un sociālais uzņēmums ir izpildījis iepriekšējā finanšu atbalsta līgumā noteiktos biznesa plāna īstenošanas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ar anotācijā minēto. Anotācijā minēts, ka “finanšu atbalstu sociālie uzņēmumi (izņemot darba integrācijas sociālos uzņēmumus) varēs saņemt tikai vienu reizi. Darba integrācijas sociālajiem uzņēmumiem būs iespēja saņemt minēto finanšu atbalstu atkārtoti, taču ne ātrāk kā 24 mēnešus pēc iepriekšējā granta līguma noslēgšanas. Savukārt sociālajiem uzņēmumiem, kuru darbības laiks kopš reģistrācijas Latvijas Republikas Uzņēmumu reģistrā ir ilgāks par diviem gadiem, būs iespēja saņemt finanšu atbalstu līdz 200 000 euro (finanšu atbalsta intensitāte – 60 procenti). Arī šī granta gadījumā, ja uzņēmums iepriekš saņēmis grantu 9.1.1.3. vai 4.3.3.3. pasākuma ietvaros, nākamo grantu varēs saņemt ne ātrāk kā 24 mēnešus pēc iepriekšējā granta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 minētā var secināt, ka atkāroti ne ātrāk kā 24 mēnešus pēc iepriekšējā granta līguma noslēgšanas finanšu atbalstu varēs saņemt darba integrācijas sociālie uzņēmumi vai sociālie uzņēmumi, kuru darbības laiks kopš reģistrācijas Latvijas Republikas Uzņēmumu reģistrā ir ilgāks par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Īstenojot projektu, finansējuma saņēmējs un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noteikumu projektā, ka </w:t>
            </w:r>
            <w:r w:rsidR="00000000" w:rsidRPr="00000000" w:rsidDel="00000000">
              <w:rPr>
                <w:b w:val="1"/>
                <w:rtl w:val="0"/>
              </w:rPr>
              <w:t xml:space="preserve">atbalsta sniedzējs (persona) pirms gala labuma guvēja pieteikuma izvērtēšanas ir izvērtējis un parakstījis apliecinājumu</w:t>
            </w:r>
            <w:r w:rsidR="00000000" w:rsidRPr="00000000" w:rsidDel="00000000">
              <w:rPr>
                <w:rtl w:val="0"/>
              </w:rPr>
              <w:t xml:space="preserve">, ka viņš nav saistīts ar gala labuma guvēju likuma “Par interešu konflikta novēršanu valsts amatpersonu darbībā” izpratnē un Regulas (ES) Nr. 2018/1046 61.panta[1] izpratnē, tādējādi novēršot/mazinot interešu konflikta risku daudzpakāpju projektu gadījumā. Vienlaikus aicinām noteikumu projektam pievienot apliecinājuma standartformu.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Tai skaitā ņemot vērā Eiropas Komisijas 2021.gada 9.aprīļa paziņojums “Norādījumi par izvairīšanos no interešu konfliktiem un to pārvaldību saskaņā ar Finanšu regulu” Nr. 2021/C 121/01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nodrošina informācijas un publicitātes, kā arī vizuālās identitātes pasākumus, kas noteikti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atbilstoši normatīvajam aktam par kārtību, kādā Eiropas Savienības fondu vadībā iesaistītās institūcijas nodrošina šo fondu ieviešanu 2021. – 2027. gada plānošanas periodā un Eiropas Savienības fondu 2021. – 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sociālajiem uzņēmumiem būtu jānodrošina publicitātes un vizuālās identitātes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saskaņā ar ES kohēzijas politikas programmas 2021.–2027.gadam 7.pielikumu 4.3.3.3.pasākums ir norādīts kā stratēģiski svarīgs, lūdzam papildināt, ka finansējuma saņēmējs izstrādā projekta komunikācijas plānu, kā arī organizē vismaz vienu informatīvo pasākumu vai aktivitāti, tajā iesaistot EK pārstāvniecību Latvijā, AI, VI un 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uzkrāj, uzskaita un iesniedz sadarbības iestādē informāciju par atbalstu saņēmušām šo noteikumu 3. punktā minētajām mērķa grupām atbilstoši Eiropas Parlamenta un Padomes 2021. gada 24. jūnija Regulas (ES) 2021/1057, ar ko izveido Eiropas Sociālo fondu Plus (ESF+) un atceļ Regulu (ES) Nr. 1296/2013, 1. un 2. pielikumam un normatīvajiem aktiem par kārtību, kādā tiek veiktas pārbaudes Eiropas Savienības fondu projektos 2021.–2027. gada plānošanas periodā,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3.3. vai 4.2.punktu, t.i., datus uzkrāt par personām, kas tiks uzskaitītas iznākuma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paredzot projekta iesniedzēja un sadarbības partnera pienākumu izstrādāt iekšējās kontroles sistēmu (iekšējo kārtību), ietverot tajā informāciju par interešu konflikta, krāpšanas, korupcijas risku un dubultā finansējuma novēršanas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iekļaut skaidrojumu, norādot, ka projekta iesniedzēja un sadarbības partnera iestādē izveidojamā kontroles sistēma aptver šādus Regulas Nr. 2018/1046 , direktīvas Nr. 2014/24/ES , likuma “Par interešu konflikta novēršanu valsts amatpersonu darbībā”, Eiropas Komisijas paziņojuma Nr. C/2021/2119 par interešu konfliktu un Ministru kabineta 2017. gada 17. oktobra noteikumu Nr. 630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preventīvus pasākumus un konstatēšanas pasākumus interešu konflikta riska kontrolei , t. sk. paziņošanas procedūru, labošanas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pasākumus aizliegtās vienošanās riska kontrolei. Papildus projekta iesniedzēja un sadarbības partnera organizācijās ir ieviests ētikas kodekss un procedūras disciplināratbildības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ir izveidots ziņošanas mehānisms kompetentajām iestādēm par potenciālu administratīvu/kriminālatbildību un izveidota trauksmes celšanas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Komisijas regulas Nr. 717/2014 1. panta 1. punktā un Komisijas regulas Nr. 1408/2013 1. panta 1. punktā minētos nozaru un darbības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ar Komisijas regulu Nr.1407/2013 nepiešķir kravas transportlīdzekļu iegādei, ja uzņēmums darbojas kravu komercpārvadājumu autotransporta nozarē. Attiecīgi lūdzam papildināt šo punktu. Lūdzam skatīt skaidrojumu Komisijas regulas Nr. 1407/2013 preambulas 5. apsvērumā.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vadība un tā īstenošanas nodrošināšanai (indikatīvās izmaksas – 3,13 milj. euro) paredzēto finansējuma apjomu, ievērojot  to, ka tas sastāda 1/4 daļu no plānotā/ pieejamā kopējā finansējuma. Vienlaikus vēršam uzmanību, ka daļā no atbalstāmajām darbībām plānots piesaistīt pakalpojumu sniedzēju. Ja 4.3.3.3.pasākuma projekta īstenošana ilgs aptuveni 6 gadus (2024.-2029.gads) un kopā paredzētas 14.7 amata vietas. Attiecīgi veicot indikatīvu aprēķinu:  3 130 000euro / 6 gadi = 521 666,67 euro gadā / 12 mēneši = 43 472,22 euro/mēnesī. Šo mēneša summu izdalot ar 14,7 amata vietām - vidēji atlīdzība sanāk 2 957,29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piemērojot vienoto likmi ir būtiski nodrošināt izmaksu un funkciju nošķiršanu starp projekta vadības un īstenošanas personālu un pārējo atbalstāmo darbību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tiks nodrošināta projekta personāla izmaksu un funkciju nošķiršana, ņemot vērā norādīto informāciju, ka atsevišķas atbalstāmās darbības nodrošinās projekta personāls, ja nepieciešams, piesaistot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dati tiek uzkrāti un uzglabāti ne tikai Kohēzijas politikas fondu informācijas sistēmā. Finansējums saņēmējs, īstenojot projektu, arī uzkrāj minētos datus un uzglabā projekta īstenošanas vietā. Dati, kas tiek iesniegti Kohēzijas politikas fondu vadības informācijas sistēmā tiek uzkrāti, lai izpildītu Eiropas Komisijas normatīvo aktu prasības. Par datu uzglabāšanu Kohēzijas politikas fondu vadības informācijas sistēmā ir noteikts regulējums minētajos Ministru kabineta 2022. gada 13. decembra noteikumos Nr.770 “Kārtība, kādā Eiropas Savienības fondu 2021.–2027. gada plānošanas periodā nodrošina ieguldījumu uzraudzību un izvērtēšanu, kā arī izstrādā un uztur Kohēzijas politikas fondu vadības informācijas sistēmu” un par to ir atbildīga sadarbības iestāde. Tā kā minētie noteikumi neregulē kārtību attiecībā uz finansējuma saņēmēju, lūdzam papildināt anotācijas 8.13.sadaļu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4.3.3.3.pasākums norādīts programmas sadaļā “Plānoto stratēģiski svarīgo darbību saraksts un to plānotais laika grafiks”, lūdzam papildināt noteikumu projektu ar informāciju par stratēģiskas nozīmes projektiem saskaņā ar Vadlīniju Ministru kabineta noteikumu par specifiskā atbalsta mērķa īstenošanu izstrādei Eiropas Savienības fondu 2021.—2027. gada plānošanas periodā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1.3.punktu un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Plus) projekta (turpmāk – projekts)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 finansējuma saņēmējam", ņemot vērā noteikumu projekta 12.punktā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4.punktā dzēst vārdu “uzraudzības”, kā arī 4.2.apakšpunktā dzēst vārdu “iznākuma” un 4.3.apakšpunktā dzēst vārdu “rezultāta” saskaņā ar Vadlīniju Ministru kabineta noteikumu par specifiskā atbalsta mērķa īstenošanu izstrādei Eiropas Savienības fondu 2021.—2027. gada plānošanas periodā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programmas iznākuma rādītājs – atbalstīto sociālo uzņēmumu skaits – 148, tai skaitā līdz 2024. gada 31. decembrim – 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4. un 4.1.apakšpunktu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2029. gada 31. decembrim sasniedzamie rādītāji un to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mikrouzņēmumi, mazie vai vidējie uzņēmumi (t.sk. kooperatīvie uzņēmumi, sociālie uzņēmumi), kas saņēmuši atbalstu, tai skaitā sasniedzamās vērtība līdz 2029. gadam - 148, un starpposma sasniedzamās vērtība līdz 2024. gada 31. decembrim - 22;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programmas iznākuma rādītājs – atbalstīto sociālo uzņēmumu skaits – 148, tai skaitā līdz 2024. gada 31. decembrim – 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pirms rādītāja EECO19 nosaukuma dzēst vārdu "programmas". Attiecīgus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iznākuma rādītājs – šo noteikumu </w:t>
            </w:r>
            <w:r w:rsidR="00000000" w:rsidRPr="00000000" w:rsidDel="00000000">
              <w:rPr>
                <w:rtl w:val="0"/>
              </w:rPr>
              <w:t xml:space="preserve">3.3.</w:t>
            </w:r>
            <w:r w:rsidR="00000000" w:rsidRPr="00000000" w:rsidDel="00000000">
              <w:rPr>
                <w:rtl w:val="0"/>
              </w:rPr>
              <w:t xml:space="preserve"> apakšpunktā minēto atbalstīto personu skaits – 140, tai skaitā līdz 2024. gada 31. decembrim – 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iekļaut informāciju anotācijā par to, kas uzrauga nacionālos rādītājus, ņemot vērā Vadlīniju Ministru kabineta noteikumu par specifiskā atbalsta mērķa īstenošanu izstrādei Eiropas Savienības fondu 2021.—2027. gada plānošanas periodā 5.punktā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rezultāta rādītājs – šo noteikumu </w:t>
            </w:r>
            <w:r w:rsidR="00000000" w:rsidRPr="00000000" w:rsidDel="00000000">
              <w:rPr>
                <w:rtl w:val="0"/>
              </w:rPr>
              <w:t xml:space="preserve">3.3.</w:t>
            </w:r>
            <w:r w:rsidR="00000000" w:rsidRPr="00000000" w:rsidDel="00000000">
              <w:rPr>
                <w:rtl w:val="0"/>
              </w:rPr>
              <w:t xml:space="preserve"> apakšpunktā minēto atbalstīto personu skaits nodarbinātībā pēc biznesa plāna īstenošanas – 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4.3.apakšpunktā vārdu "rezultāta", ņemot vērā to, ka saskaņā ar "Vadlīnijām Ministru kabineta noteikumu par specifiskā atbalsta mērķa īstenošanu izstrādei Eiropas Savienības fondu 2021.—2027. gada plānošanas periodā" ir paredzēti tikai trīs rādītāju veidi (nacionālais, iznākuma un rezultāta).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12 000 000 </w:t>
            </w:r>
            <w:r w:rsidR="00000000" w:rsidRPr="00000000" w:rsidDel="00000000">
              <w:rPr>
                <w:i w:val="1"/>
                <w:rtl w:val="0"/>
              </w:rPr>
              <w:t xml:space="preserve">euro</w:t>
            </w:r>
            <w:r w:rsidR="00000000" w:rsidRPr="00000000" w:rsidDel="00000000">
              <w:rPr>
                <w:rtl w:val="0"/>
              </w:rPr>
              <w:t xml:space="preserve">, tai skaitā ESF Plus finansējums – 10 200 000  </w:t>
            </w:r>
            <w:r w:rsidR="00000000" w:rsidRPr="00000000" w:rsidDel="00000000">
              <w:rPr>
                <w:i w:val="1"/>
                <w:rtl w:val="0"/>
              </w:rPr>
              <w:t xml:space="preserve">euro </w:t>
            </w:r>
            <w:r w:rsidR="00000000" w:rsidRPr="00000000" w:rsidDel="00000000">
              <w:rPr>
                <w:rtl w:val="0"/>
              </w:rPr>
              <w:t xml:space="preserve">un valsts budžeta līdzfinansējums – 1 800 000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“attiecināmais” saskaņā ar Vadlīniju Ministru kabineta noteikumu par specifiskā atbalsta mērķa īstenošanu izstrādei Eiropas Savienības fondu 2021.—2027. gada plānošanas periodā 4.punktu, tāpat arī lūdzam minēto vārdu dzēst arī noteikumu projekta 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izmaksas ir attiecināmas, ja tās atbilst šajos noteikumos minētajām izmaksu pozīcijām un ir radušās no 2023. gada 1.oktobra.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kas nosaka finanšu plūsmas pirms projekta apstiprināšanas nodrošināšanas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izmaksas ir attiecināmas, ja tās atbilst šajos noteikumos minētajām izmaksu pozīcijām un ir radušās no 2023. gada 1.oktobra.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kādēļ un kurām izmaksu pozīcijām 4.3.3.3. pasākuma izmaksu attiecināmība tiek plānota pirms projekta iesnieguma apstiprināšanas, t.i. no 2023. gada 1.oktobra. Vēršam uzmanību, ka projekts Nr. 9.1.1.3/15/I/001 "Atbalsts sociālajai uzņēmējdarbībai" finansiālā ziņā faktiski jau šobrīd ir izsmelts, kā arī Altum sasniedzot sociālās uzņēmējdarbības (turpmāk - SU) programmas pieejamo grantu finansējuma limitu, ir noslēgusies SU grantu atbalsta piešķiršana. Līdz ar to anotācijā ietvertais apgalvojums, ka: "4.3.3.3. pasākuma īstenošanas uzsākšana 2023. gada 4. ceturksnī ļaus nodrošināt atbalsta pasākumu, kas tiek īstenoti 9.1.1.3. pasākuma ietvaros, nepārtrauktību" nav līdz galam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izmaksas ir attiecināmas, ja tās atbilst šajos noteikumos minētajām izmaksu pozīcijām un ir radušās no 2023. gada 1.oktobra.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ja noteikumu projekts paredz attiecināt izmaksas, kas radušās pirms MK noteikumu apstiprināšanas vai līgumu un vienošanās noslēgšanas brīža -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II sadaļu ar citām prasībām, kā piemēram, - 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saņēmēja sadarbības partneris ir akciju sabiedrība "Attīstības finanšu institūcija Altum" (turpmāk – sadarbības partneris). Finansējuma saņēmējs ar sadarbības partneri slēdz sadarbības līgumu, kurā iekļauj informāciju saskaņā ar normatīvajiem aktiem par kārtību, kādā Eiropas Savienības fondu vadībā iesaistītās institūcijas nodrošina šo fondu ieviešanu 2021. – 2027. gada plānošanas periodā, kā arī iekļauj sadarbības partnera pienākumu nodrošināt šo noteikumu </w:t>
            </w:r>
            <w:r w:rsidR="00000000" w:rsidRPr="00000000" w:rsidDel="00000000">
              <w:rPr>
                <w:rtl w:val="0"/>
              </w:rPr>
              <w:t xml:space="preserve">13.1.</w:t>
            </w:r>
            <w:r w:rsidR="00000000" w:rsidRPr="00000000" w:rsidDel="00000000">
              <w:rPr>
                <w:rtl w:val="0"/>
              </w:rPr>
              <w:t xml:space="preserve"> apakšpunktā minēto atbalstu sociālajiem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1) ALTUM kā sadarbības partnera izvērtējumu Eiropas Savienības struktūrfondu un Kohēzijas fonda 2014.–2020.gada plānošanas periodā (vai ALTUM kā sadarbības partneris ir sevi attaisnojis, cik ALTUM pakalpojums izmaksājis), 2) kā arī pamatot sadarbības partnera izvēli Eiropas Savienības fondu 2021.—2027. gada plānošanas periodā, t.i. kādēļ tieši ALTUM ir izvēlēts kā partneris/ grantu piešķīrējs vai ir izvērtētas citas alternatīvas.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ūdzam pārliecināties, ka noteikumu projektā ir ietvertas visas Eiropas Savienības kohēzijas politikas programmā 2021.–2027.gadam noteiktās atbalstāmās darbības,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SU (arī darba integrācija): mācības un biznesa ideju konkursi, konsultācijas, informatīvais atbalsts, t.sk., sadarbība starp uzņēmumiem, SU, pašvaldībām u.c. iesaistītajām pusēm veicināšanu, atbalsts SU uzsākšanai/veicināšanai, t.sk. finanšu atbalsts, mentorings u.tml. atbalsts, veicinot darba integrācijas iespējas uzņēmumos nelabvēlīgākā situācijā esošām mērķa grupām, t.sk. algu subsīdijas, tā palielinot nodarbinātības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SU atbilstības un darbības izvērtēšana, statusa piešķiršana, darbības atbilstības pārbaude, uzraudzības procesu veikšana, t.sk. gada darbības pārskatu izvērtēšana, SU reģistra pilnveide; sabiedrības izpratnes veidošanas pasākumi, t.sk. par sociāli atbildīgs publiskais iepirkums, informatīvi izglītojošo materiālu sagatavošana par sociālās ietekmes izvērtēšanu, metodiku, vadlīniju izstrāde dažādām mērķa auditorijām, SU ekosistēmas partnerību stiprināšana un sekmēšana, kā arī darbības izvērtējumi/pētījumi uzņēmējdarbības pilnveidei un optimālākiem risinājumiem SU izveidei un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13.5. un 35.5. apakšpunktus. Vienlaikus 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līdz atbildīgās iestādes izstrādātās vienotās likmes un tās piemērošanas metodikas personāla atlīdzības izmaksām (turpmāk – personāla izmaksu metodika) apstiprināšanai – personāla atlīdzības izmaksas, izņemot virsstundas. Ja personāla iesaiste projektā ir nodrošināta saskaņā ar daļlaika izmaksu attiecināmības principu, attiecināma ir ne mazāka kā 30 procentu noslodze,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Likmi nosaka Regula, bet metodika tiek izstrādāta vienas vienības izmaksām vai vienreizējam maksājumam. Lūdzam izvērtēt vai punkts nebūtu precizējams.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iespējams anotācija būtu jānorāda termiņu līdz kuram plānots izstrādāt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15.4.1. iepirkumu līgumu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iepirkumu līgumu izmaksas būtu attiecināmas 13.6. apakšpunktā minētās atbalstāmās darbības īstenošanai, t.sk. lūdzam izvērtēt, vai 13.6. darbība "Projekta vadība un tā īstenošanas nodrošināšana" ir attiecināms uz šo 15.4.1.apakšpunktu, kurā attiecināmas iepirkumu līgumu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iekšzemes komandējumu un darba braucienu izmaksas finansējuma saņēmēja un sadarbības partnera projekta vadības un īstenošanas personālam šo noteikumu 13. punktā minēto atbalstāmo darbību īstenošanai. Iekšzemes komandējumu un darba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papildināt noteikumu projektu un/vai anotāciju ar atbildības sadalījumu starp atbildīgo iestādi, sadarbības iestādi un atbalsta sniedzēju (daudzpakāpju projektu gadījumā) uzraudzības nodrošināšanai projekta dzīves ciklā. Piemēram, aicinām pievērst lielāku uzmanību attiecībā uz kontroli/ metodikas par kontroli izstrādi, pārbaudēm uz vietas,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lūdzam skaidrot, vai ir plānotas kādas izmaiņas attiecībā uz granta pieteikumu/biznesa projektu kontrolēm, kas ir ALTUM līmenī, jo iespējams, pasākumos, kur tiek paredzēts 90% līdzfinansējums, pārbaudēm būtu jābūt stingrākām kā pie, piemēram, 50% līdzfinansējuma.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nodrošina pasākuma uzraudzības padomes (turpmāk – padome) izveidi. Padomes sastāvā ir pilnvaroti pārstāvji no Labklājības ministrijas, Finanšu ministrijas, Ekonomikas ministrijas, Vides aizsardzības un reģionālās attīstības ministrijas, Nodarbinātības valsts aģentūras, Valsts ieņēmumu dienesta, Latvijas Pašvaldību savienības, Reģionālo attīstības centru apvienības, plānošanas reģioniem, Latvijas Darba devēju konfederācijas, Latvijas Tirdzniecības un rūpniecības kameras, kā arī no citām biedrībām un nodibinājumiem. Vadošās iestādes un atbildīgās iestādes pārstāvji padomes darbībā piedalās novērotāju statusā. Padomes personālsastāvu un nolikumu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neparedzēt vadošās iestādes dalību finansējuma saņēmēja izveidotajā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pretendētu uz šo noteikumu </w:t>
            </w:r>
            <w:r w:rsidR="00000000" w:rsidRPr="00000000" w:rsidDel="00000000">
              <w:rPr>
                <w:rtl w:val="0"/>
              </w:rPr>
              <w:t xml:space="preserve">13.1.</w:t>
            </w:r>
            <w:r w:rsidR="00000000" w:rsidRPr="00000000" w:rsidDel="00000000">
              <w:rPr>
                <w:rtl w:val="0"/>
              </w:rPr>
              <w:t xml:space="preserve"> apakšpunktā minēto finanšu atbalstu, sociālie uzņēmumi un sociālās uzņēmējdarbības uzsācēji iesniedz sadarbības partnerim finanšu atbalsta pieteikumu, biznesa plānu un citu ar tā īstenošanu saistīto informāciju, ja nepieciešams. Ja tiek pieņemts lēmums par finanšu atbalsta piešķiršanu,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Sociālās uzņēmējdarbības uzsācēji tiks vērtēti atbilstoši izslēgšanas nosacījumiem, ņemot vērā, ka tiem tiks piešķirts finanšu atbalsts. Vēršam uzmanību, ka, lai aizsargātu Eiropas Savienības finanšu intereses un nodrošinātu drošu finanšu vadību, nav pieļaujams, ka Eiropas Savienības finanšu līdzekļi tiek piešķirti dalībniekiem, kas atbilst kādam no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Maksimālā finanšu atbalsta intensitāte šo noteikumu </w:t>
            </w:r>
            <w:r w:rsidR="00000000" w:rsidRPr="00000000" w:rsidDel="00000000">
              <w:rPr>
                <w:rtl w:val="0"/>
              </w:rPr>
              <w:t xml:space="preserve">23.2.1.</w:t>
            </w:r>
            <w:r w:rsidR="00000000" w:rsidRPr="00000000" w:rsidDel="00000000">
              <w:rPr>
                <w:rtl w:val="0"/>
              </w:rPr>
              <w:t xml:space="preserve"> apakšpunktā minētajiem sociālajiem uzņēmumiem ir 90 procenti no biznesa plānā iekļautajām šo noteikumu </w:t>
            </w:r>
            <w:r w:rsidR="00000000" w:rsidRPr="00000000" w:rsidDel="00000000">
              <w:rPr>
                <w:rtl w:val="0"/>
              </w:rPr>
              <w:t xml:space="preserve">23.</w:t>
            </w:r>
            <w:r w:rsidR="00000000" w:rsidRPr="00000000" w:rsidDel="00000000">
              <w:rPr>
                <w:rtl w:val="0"/>
              </w:rPr>
              <w:t xml:space="preserve"> </w:t>
            </w:r>
            <w:r w:rsidR="00000000" w:rsidRPr="00000000" w:rsidDel="00000000">
              <w:rPr>
                <w:shd w:fill="#e0ffff" w:val="clear"/>
                <w:rtl w:val="0"/>
              </w:rPr>
              <w:t xml:space="preserve">punktā</w:t>
            </w:r>
            <w:r w:rsidR="00000000" w:rsidRPr="00000000" w:rsidDel="00000000">
              <w:rPr>
                <w:rtl w:val="0"/>
              </w:rPr>
              <w:t xml:space="preserve"> minētajām attiecināmajām izmaksām, nepārsniedzot maksimālo finanšu atbalsta apmēru – 40 000 </w:t>
            </w:r>
            <w:r w:rsidR="00000000" w:rsidRPr="00000000" w:rsidDel="00000000">
              <w:rPr>
                <w:i w:val="1"/>
                <w:rtl w:val="0"/>
              </w:rPr>
              <w:t xml:space="preserve">euro</w:t>
            </w:r>
            <w:r w:rsidR="00000000" w:rsidRPr="00000000" w:rsidDel="00000000">
              <w:rPr>
                <w:rtl w:val="0"/>
              </w:rPr>
              <w:t xml:space="preserve">, savukārt maksimālā finanšu atbalsta intensitāte šo noteikumu </w:t>
            </w:r>
            <w:r w:rsidR="00000000" w:rsidRPr="00000000" w:rsidDel="00000000">
              <w:rPr>
                <w:rtl w:val="0"/>
              </w:rPr>
              <w:t xml:space="preserve">23.2.2.</w:t>
            </w:r>
            <w:r w:rsidR="00000000" w:rsidRPr="00000000" w:rsidDel="00000000">
              <w:rPr>
                <w:rtl w:val="0"/>
              </w:rPr>
              <w:t xml:space="preserve"> apakšpunktā minētajiem sociālajiem uzņēmumiem ir 60 procenti no biznesa plānā iekļautajām šo noteikumu </w:t>
            </w:r>
            <w:r w:rsidR="00000000" w:rsidRPr="00000000" w:rsidDel="00000000">
              <w:rPr>
                <w:rtl w:val="0"/>
              </w:rPr>
              <w:t xml:space="preserve">23.</w:t>
            </w:r>
            <w:r w:rsidR="00000000" w:rsidRPr="00000000" w:rsidDel="00000000">
              <w:rPr>
                <w:rtl w:val="0"/>
              </w:rPr>
              <w:t xml:space="preserve"> punktā minētajām attiecināmajām izmaksām, nepārsniedzot maksimālo finanšu atbalsta apmēru – 200 000 </w:t>
            </w:r>
            <w:r w:rsidR="00000000" w:rsidRPr="00000000" w:rsidDel="00000000">
              <w:rPr>
                <w:i w:val="1"/>
                <w:rtl w:val="0"/>
              </w:rPr>
              <w:t xml:space="preserve">euro</w:t>
            </w:r>
            <w:r w:rsidR="00000000" w:rsidRPr="00000000" w:rsidDel="00000000">
              <w:rPr>
                <w:rtl w:val="0"/>
              </w:rPr>
              <w:t xml:space="preserve">, tai skaitā ievērojot šo noteikumu V nodaļā minētos </w:t>
            </w:r>
            <w:r w:rsidR="00000000" w:rsidRPr="00000000" w:rsidDel="00000000">
              <w:rPr>
                <w:i w:val="1"/>
                <w:rtl w:val="0"/>
              </w:rPr>
              <w:t xml:space="preserve">de minimis</w:t>
            </w:r>
            <w:r w:rsidR="00000000" w:rsidRPr="00000000" w:rsidDel="00000000">
              <w:rPr>
                <w:rtl w:val="0"/>
              </w:rPr>
              <w:t xml:space="preserve"> atbalsta ierobežojumus. Sadarbības partneris šo noteikumu </w:t>
            </w:r>
            <w:r w:rsidR="00000000" w:rsidRPr="00000000" w:rsidDel="00000000">
              <w:rPr>
                <w:rtl w:val="0"/>
              </w:rPr>
              <w:t xml:space="preserve">23.</w:t>
            </w:r>
            <w:r w:rsidR="00000000" w:rsidRPr="00000000" w:rsidDel="00000000">
              <w:rPr>
                <w:rtl w:val="0"/>
              </w:rPr>
              <w:t xml:space="preserve"> punktā minēto finanšu atbalstu piešķir pamatotu un dzīvotspējīgu biznesa plānu īstenošanai. Sociālie uzņēmumi biznesa plāna īstenošanai izmanto arī savus resursus vai piesaista ārējo finansējumu, ar nosacījumu, ka vismaz 10 procentu apmērā šo noteikumu </w:t>
            </w:r>
            <w:r w:rsidR="00000000" w:rsidRPr="00000000" w:rsidDel="00000000">
              <w:rPr>
                <w:rtl w:val="0"/>
              </w:rPr>
              <w:t xml:space="preserve">23.2.1.</w:t>
            </w:r>
            <w:r w:rsidR="00000000" w:rsidRPr="00000000" w:rsidDel="00000000">
              <w:rPr>
                <w:rtl w:val="0"/>
              </w:rPr>
              <w:t xml:space="preserve"> apakšpunktā minētajiem sociālajiem uzņēmumiem un vismaz 40 procentu apmērā šo noteikumu </w:t>
            </w:r>
            <w:r w:rsidR="00000000" w:rsidRPr="00000000" w:rsidDel="00000000">
              <w:rPr>
                <w:rtl w:val="0"/>
              </w:rPr>
              <w:t xml:space="preserve">23.2.2.</w:t>
            </w:r>
            <w:r w:rsidR="00000000" w:rsidRPr="00000000" w:rsidDel="00000000">
              <w:rPr>
                <w:rtl w:val="0"/>
              </w:rPr>
              <w:t xml:space="preserve"> apakšpunktā minētajiem sociālajiem uzņēmumiem no biznesa plānā iekļautajām attiecināmajām izmaksām ir izmantoti savi resursi vai ārējais finansējums, kas nav saistīts 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pamatojumu maksimālā finanšu atbalsta intensitātes (90%) apmēra izvēlei šāda tipa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sociālo uzņēmumu reģistra funkcionalitātes pilnveidi un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sociālo uzņēmuma reģistru, jo līdzšinējais reģistrs bija Microsoft Excel formātā.Lūdzam papildināt anotāciju ar informāciju, vai tiek plānota kāda IKT vai informācijas sistēma, un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uzkrāj, uzskaita un iesniedz sadarbības iestādē informāciju par atbalstu saņēmušām šo noteikumu 3. punktā minētajām mērķa grupām atbilstoši Eiropas Parlamenta un Padomes 2021. gada 24. jūnija Regulas (ES) 2021/1057, ar ko izveido Eiropas Sociālo fondu Plus (ESF+) un atceļ Regulu (ES) Nr. 1296/2013, 1. un 2. pielikumam un normatīvajiem aktiem par kārtību, kādā tiek veiktas pārbaudes Eiropas Savienības fondu projektos 2021.–2027. gada plānošanas periodā,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dzēst noteikumu projekta 26.7.apakšpunktā minētās atsauces uz Regulas 2021/1057 2.pielikumu, ņemot vērā, ka tas attiecas uz konkrētās Regulas 4.panta  1.punkta  L) apakšpunktā minēto mērķi (veicināt nabadzības vai sociālās atstumtības riskam pakļauto personu, arī vistrūcīgāko personu un bērnu, sociālo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35.8.2. mediju kampaņu, semināru, konferenču un komunikācijas pasākumu skaits, kuros sabiedrības informēšanai tika nodrošināti cilvēkiem ar dažāda veida funkcionāliem traucējumiem piekļūstami formāti;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rādītāja nosaukumu atbilstoši HP VINPI 4.pielikumam, papildinot ar: "(piem., tulkošana zīmju valodā, subtitrēšana, reāllaika transkripcija, raidījumu un pasākumu ieraksti);", nodrošinot, ka visos dokumentos tiek atspoguļots vienots apstiprinātais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35.8.3. specifiskus atbalsta pakalpojumus saņēmušo personu ar invaliditāti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rādītāja nosaukumu atbilstoši HP VINPI 4.pielikumam, papildinot ar: "(darbavietu pielāgošana, ergoterapeita, surdotulka, mentora, specializētā transporta pakalpojumi, atbalsta personas)", nodrošinot, ka visos dokumentos tiek atspoguļots vienots apstiprinātais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Specifiskus atbalsta pakalpojumus saņēmušo personu ar invaliditāti skaits (darbavietu pielāgošana, ergoterapeita, surdotulka, mentora, specializētā transporta pakalpojumi, atbalsta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35.8.5. personu, kas vecākas par 50 gadiem, skaits atbalsta saņēmēju 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rādītāja nosaukumu atbilstoši HP VINPI 4.pielikumam: "50+ vecuma personu skaits atbalsta saņēmēju vidū", nodrošinot, ka visos dokumentos tiek atspoguļots vienots apstiprinātais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35.8.5. 50+ vecuma personu skaits atbalsta saņēmēju 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Par </w:t>
            </w:r>
            <w:r w:rsidR="00000000" w:rsidRPr="00000000" w:rsidDel="00000000">
              <w:rPr>
                <w:i w:val="1"/>
                <w:rtl w:val="0"/>
              </w:rPr>
              <w:t xml:space="preserve">de minimis </w:t>
            </w:r>
            <w:r w:rsidR="00000000" w:rsidRPr="00000000" w:rsidDel="00000000">
              <w:rPr>
                <w:rtl w:val="0"/>
              </w:rPr>
              <w:t xml:space="preserve">atbalsta piešķiršanas brīdi uzskata dienu, kad stājies spēkā lēmums par šo noteikumu </w:t>
            </w:r>
            <w:r w:rsidR="00000000" w:rsidRPr="00000000" w:rsidDel="00000000">
              <w:rPr>
                <w:rtl w:val="0"/>
              </w:rPr>
              <w:t xml:space="preserve">39.</w:t>
            </w:r>
            <w:r w:rsidR="00000000" w:rsidRPr="00000000" w:rsidDel="00000000">
              <w:rPr>
                <w:rtl w:val="0"/>
              </w:rPr>
              <w:t xml:space="preserve"> punktā minētā finanšu atbalsta, konsultāciju un mācību atbalsta, valsts sociālās apdrošināšanas obligāto iemaksu darba devēja daļas kompensācijas, vienreizējas darba algas kompensācijas un darba devēja izmaksātās slimības naudas kompensācijas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vienkāršot šo punktu, ņemot vērā, ka noteikumu projekta 38.punktā ir norādīts, ko piešķir kā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 minimis atbalsta piešķiršanas brīdi uzskata dienu, kad stājies spēkā lēmums par par šo noteikumu 38.punktā minētā de minimis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nodaļas "Pašreizējā situācija, problēmas un risinājumi" apakšsadaļas "Pašreizējā situācija" 6.rindkopas ievaddaļu pirms vārdiem "Darbības programmas "Izaugsme un nodarbinātība"..." ar vārdiem un skaitļiem "Eiropas Savienības struktūrfondu un Kohēzijas fonda 2014.–2020. 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no kādiem līdzekļiem tiks nodrošināta pasākuma rezultātu/ rādītāju ilgtspēja vai uzturēšana-  it īpaši, ja noteikumu projekta 2,punktā norādītais pasākuma mērķis ir sniegt atbalstu sociālo uzņēmumu izveidei un attīstībai, lai uzlabotu sabiedrības dzīves kvalitāti, palielinātu sociālās atstumtības riskam pakļauto iedzīvotāju grupu nodarbinātības iespējas un </w:t>
            </w:r>
            <w:r w:rsidR="00000000" w:rsidRPr="00000000" w:rsidDel="00000000">
              <w:rPr>
                <w:b w:val="1"/>
                <w:rtl w:val="0"/>
              </w:rPr>
              <w:t xml:space="preserve">stiprinātu sociālo uzņēmumu ekosistēmas ilgtspēju</w:t>
            </w:r>
            <w:r w:rsidR="00000000" w:rsidRPr="00000000" w:rsidDel="00000000">
              <w:rPr>
                <w:rtl w:val="0"/>
              </w:rPr>
              <w:t xml:space="preserve"> un veicinātu sociālās uzņēmējdarbības attīstību kopumā. Vienlaikus rezultātu ilgtspēja jānodrošina, ja investīciju ietvaros tiek sniegts komercdarbības atbalsts, kas paredz nosacījumu par ilgtspējas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norādīt intervences kodus[1]. Intervences kodiem jāatbilst tiem, kas Programmā ir norādīti konkrētajam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Savienības Oficiālais Vēstnesis, 2021. gada 30. jūnijs, Nr. L231/159) I pielikums; pieejams: https://eur-lex.europa.eu/legal-content/EN/TXT/PDF/?uri=CELEX:32021R1060&amp;from=LV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īsu informāciju, par to, kādi izvērtējumi veikti pirms investīciju plānošanas, t.sk. par Eiropas Savienības struktūrfondu un Kohēzijas fonda 2014.–2020.gada plānošanas perioda darbības programmu "Izaugsme un nodarbinātība" projekta Nr. 9.1.1.3/15/I/001 "Atbalsts sociālajai uzņēmējdarbībai" novērtējumu, kādi ir atdeves rādītāji, kādi ir paredzamie ieguvumi īstenojot 4.3.3.3.pasākumu, kā arī sniegt vērtējumu, par ietekmi uz konkrēto jomu, un mērķa grupu, gadījumā, ja šīs investīcijas netiktu veiktas. Lūdzam sniegt papildus viedokli par noteikumu projekta lietderību, kādas būtu alternatīvas, un tā ietekmi uz ekonomikas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4.3.3.3.pasākumam "Atbalsts sociālajai uzņēmējdarbībai" netiek plānots elastības finansējums, lūdzu papildināt informāciju par konkrētiem attiecīgās prioritātes un fonda SAM, kuru ietvaros tiks noteikts elastības finansējums, saskaņā ar Vadlīniju Ministru kabineta noteikumu par specifiskā atbalsta mērķa īstenošanu izstrādei Eiropas Savienības fondu 2021.—2027. gada plānošanas periodā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minēts, ka "Lai nodrošinātu efektīvu grantu uzraudzības procesu, grantu apmaksas pamatošanai ir noteikta darījuma (rēķina, pavadzīmes, čeka) minimālā summa 200 euro"". Savukārt noteikuma projekta  23.5.3.apakšpunktā noteikts izņēmums - izņemot mācību un konsultāciju izmaksas. Lūdzam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Sekača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 nebūtu papildināma ar informāciju par "ES struktūrfondu un Kohēzijas fonda 2014.—2020.gada plānošanas perioda darbības programmas "Izaugsme un nodarbinātība" 9.prioritārā virziena “Sociālā iekļaušana un nabadzības apkarošana" noslēguma izvērtējums"", kas šobrīd ir izstrādes procesā. Vienlaikus lūdzam papildināt anotācijas 1.4. sadaļas aprakstu, minot būtiskākos priekšlikumus un secinājumus, kas ņemti vērā tiesību akta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aizpildāma anotācijas 2.1.sadaļa par juridiskām personām, ievērojot to, ka sociālo uzņēmumi ir sabiedrības ar ierobežotu atbildību (SIA).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5.1.apakšpunktā 2026.gadam norādīto valsts pamatbudžeta finansējuma apmēru atbilstoši 5.punktā un 6.punktā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6.3.sadaļu, lai no šīs būtu skaidri saprotams, kāds bija fiziskās personas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lūdzam papildināt anotācijas 8.2. sadaļu par pasākuma ietekmi uz horizontālo principu "Klimatdrošināšana” ,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06.07.2023.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06.07.2023.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Atzinumi_23-TA-902.docx</dc:title>
</cp:coreProperties>
</file>

<file path=docProps/custom.xml><?xml version="1.0" encoding="utf-8"?>
<Properties xmlns="http://schemas.openxmlformats.org/officeDocument/2006/custom-properties" xmlns:vt="http://schemas.openxmlformats.org/officeDocument/2006/docPropsVTypes"/>
</file>