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aktuālo situāciju atskurbtuvju izveidē”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ministrijai izvērtēt iespēju 0,3% no akcīzes nodokļa ieņēmumiem no alkohola tirdzniecības saistībā ar likumprojektu “Par vidēja termiņa budžeta ietvaru 2024., 2025. un 2026. gadam” un likumprojektu “Par valsts budžetu 2024. gadam” novirzīt atskurbināšanas pakalpojuma sniegšanas izdevumu segšanai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Ministru kabineta protokollēmuma 3.punktu un ziņojumā sniegto informāciju par akcīzes nodokļa ieņēmumiem kā finansējuma avotu atskurbšanas pakalpojuma pieejamības nodrošināšanai. Atkārtoti vēršam uzmanību, ka Pašvaldību likuma 4. panta pirmās daļas 21. punkts paredz, ka atskurbināšanas pakalpojumu pieejamības nodrošināšana ir noteikta kā pašvaldības autonomā funkcija, savukārt minētā likuma 4.panta ceturtā daļa nosaka, ka autonomo funkciju izpildi finansē no pašvaldības budžeta, ja likumā nav noteikts citādi. Papildus vēršam uzmanību, ka akcīzes nodokļa ieņēmumi tiek ieskaitīti vispārējos valsts budžeta ieņēmumos un tie nav tieši novirzāmi kādas konkrētas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Ministru kabineta protokollēmuma 3.punktu, kā arī svītrot informatīvā ziņojuma projektā sniegto informāciju par akcīzes nodokļa ieņēmumiem kā finansējuma avotu atskurbšanas pakalpojuma pieejamības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Vides aizsardzības un reģionālās attīstītības ministrijas ieskatā pašvaldībām atskurbināšanas pakalpojumu pieejamības nodrošināšanai ir jāpiešķir valsts budžeta finansējums, tad lūdzam Vides aizsardzības un reģionālās attīstītības ministriju izvērtēt, vai šāds jautājums no Vides aizsardzības un reģionālās attīstītības ministrijas būtu iesniedzams kā prioritārā pasākuma pieteikums un attiecīgi izskatāms Ministru kabinetā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atgādinām, ka Ministru kabineta un Latvijas Pašvaldību savienības vienošanās un domstarpību protokolā par 2023. gada budžetu un budžeta ietvaru 2023.-2025. gadam attiecībā uz diskusiju par Pašvaldību likuma 4. panta pirmajā daļā pašvaldībām noteiktajām autonomām funkcijām, kas tai skaitā paredz nodrošināt arī atskurbšanas pakalpojumu pieejamību, Ministru kabineta viedoklis ir šāds: </w:t>
            </w:r>
            <w:r w:rsidR="00000000" w:rsidRPr="00000000" w:rsidDel="00000000">
              <w:rPr>
                <w:i w:val="1"/>
                <w:rtl w:val="0"/>
              </w:rPr>
              <w:t xml:space="preserve">“Saskaņā ar Pašvaldību likumā noteikto pašvaldību autonomo funkciju izpildi atbilstoši savai kompetencei organizē un par to atbild pašvaldība, kā arī autonomo funkciju izpildi finansē no pašvaldības budžeta, ja likumā nav noteikts citādi. Atbilstoši Pašvaldību likumam pašvaldības domes kompetencē ir lemt par kārtību, kādā izpildāmas pašvaldības autonomās funkcijas. Vienlaikus jāatzīmē, ka pašvaldību budžetu ieņēmumi katru gadu pieaug."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20.04.2023. 09.18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22-TA-3250</w:t>
    </w:r>
    <w:r>
      <w:br/>
    </w:r>
    <w:r w:rsidR="00000000" w:rsidRPr="00000000" w:rsidDel="00000000">
      <w:rPr>
        <w:rtl w:val="0"/>
      </w:rPr>
      <w:t xml:space="preserve">Izdrukāts 20.04.2023. 09.18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Atzinumi_22-TA-3250.docx</dc:title>
</cp:coreProperties>
</file>

<file path=docProps/custom.xml><?xml version="1.0" encoding="utf-8"?>
<Properties xmlns="http://schemas.openxmlformats.org/officeDocument/2006/custom-properties" xmlns:vt="http://schemas.openxmlformats.org/officeDocument/2006/docPropsVTypes"/>
</file>