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speciālās regulatīvās vides izveidi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25.09.2024.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25.09.2024.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