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Atlīdzības apmērs fonda padomes loceklim vai viņa aizvietotājam, kas ir nevalstiskās organizācijas pārstāvis, ir šāds: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nav ietverts pietiekams pamatojums tik būtiskam Fonda padomes locekļa atalgojuma palielinājumam no 118,96 </w:t>
            </w:r>
            <w:r w:rsidR="00000000" w:rsidRPr="00000000" w:rsidDel="00000000">
              <w:rPr>
                <w:i w:val="1"/>
                <w:rtl w:val="0"/>
              </w:rPr>
              <w:t xml:space="preserve">euro</w:t>
            </w:r>
            <w:r w:rsidR="00000000" w:rsidRPr="00000000" w:rsidDel="00000000">
              <w:rPr>
                <w:rtl w:val="0"/>
              </w:rPr>
              <w:t xml:space="preserve"> par vienu Fonda padomes sēdi (vai 11,98 e</w:t>
            </w:r>
            <w:r w:rsidR="00000000" w:rsidRPr="00000000" w:rsidDel="00000000">
              <w:rPr>
                <w:i w:val="1"/>
                <w:rtl w:val="0"/>
              </w:rPr>
              <w:t xml:space="preserve">uro</w:t>
            </w:r>
            <w:r w:rsidR="00000000" w:rsidRPr="00000000" w:rsidDel="00000000">
              <w:rPr>
                <w:rtl w:val="0"/>
              </w:rPr>
              <w:t xml:space="preserve">/stundā) uz 201,76 </w:t>
            </w:r>
            <w:r w:rsidR="00000000" w:rsidRPr="00000000" w:rsidDel="00000000">
              <w:rPr>
                <w:i w:val="1"/>
                <w:rtl w:val="0"/>
              </w:rPr>
              <w:t xml:space="preserve">euro</w:t>
            </w:r>
            <w:r w:rsidR="00000000" w:rsidRPr="00000000" w:rsidDel="00000000">
              <w:rPr>
                <w:rtl w:val="0"/>
              </w:rPr>
              <w:t xml:space="preserve"> par vienu Fonda padomes sēdi (vai 25,22 </w:t>
            </w:r>
            <w:r w:rsidR="00000000" w:rsidRPr="00000000" w:rsidDel="00000000">
              <w:rPr>
                <w:i w:val="1"/>
                <w:rtl w:val="0"/>
              </w:rPr>
              <w:t xml:space="preserve">euro</w:t>
            </w:r>
            <w:r w:rsidR="00000000" w:rsidRPr="00000000" w:rsidDel="00000000">
              <w:rPr>
                <w:rtl w:val="0"/>
              </w:rPr>
              <w:t xml:space="preserve">/stundā), veidojot atalgojuma palielinājumu par 69,6%. Līdz ar to, turpinām uzturēt š.g. 6.augusta Finanšu ministrijas atzinumā ietverto 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nevalstiskajai organizācijai nav nodokļu parādu un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administrēto nodokļu (nodevu) parādnieku datubāzē publisko informāciju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ir pieejama Valsts ieņēmumu dienesta administrēto nodokļu (nodevu) parādnieku datubāzē ir pieejama informācija par nodokļu vai nodevu parādu, tai skaitā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jo šajā Valsts ieņēmumu dienesta administrēto nodokļu (nodevu) parādnieku datubāzē saskaņā ar likuma “Par nodokļiem un nodevām” 18. panta pirmās daļas 8.punktu šie parādi netiek iekļauti)."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aizstājot saikli "un" ar "tai skaitā" un sniedzot atsauci, kur informācija ir iegūstama.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nevalstiskajai organizācijai  Valsts ieņēmumu dienesta publiskojamo datu bāzē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Šveicere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08.11.2025.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08.11.2025.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