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4. augusta noteikumos Nr. 618 "Noteikumi par mantojuma reģistra un mantojuma lietu vešanu"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Elektroniski parakstītus paziņojumus mantojuma lietā zvērināts notārs nosūta uz personas oficiālo elektronisko adresi. Ja nav zināma adresāta oficiālā elektroniskā adrese, zvērināts notārs to saņem no oficiālo elektronisko adrešu informācijas sistēmas. Ja personai nav aktivizēts elektroniskās adreses konts, zvērināts notārs nosūta rakstisku paziņojumu uz fiziskās personas deklarēto dzīvesvietu vai citu Fizisko personu reģistrā reģistrēto adresi, bet juridiskai personai – uz komercreģistrā reģistrēto adresi. Saskaņā ar Notariāta likuma 259.</w:t>
            </w:r>
            <w:r w:rsidR="00000000" w:rsidRPr="00000000" w:rsidDel="00000000">
              <w:rPr>
                <w:vertAlign w:val="superscript"/>
                <w:rtl w:val="0"/>
              </w:rPr>
              <w:t xml:space="preserve">1</w:t>
            </w:r>
            <w:r w:rsidR="00000000" w:rsidRPr="00000000" w:rsidDel="00000000">
              <w:rPr>
                <w:rtl w:val="0"/>
              </w:rPr>
              <w:t xml:space="preserve"> panta 2. punktu informāciju mantot aicinātajiem par mantojuma atklāšanās izsludināšanu zvērināts notārs paziņo gan uz oficiālo elektronisko adresi, gan arī nosūta vēstuli uz deklarēto dzīvesvietu un citu mantojuma lietā zināmo adresi. Mantot aicinātajiem, kas nav reģistrēti Fizisko personu reģistrā, paziņo uz adresi, kura iesniegta mantojuma lietā.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likums 8. panta otro daļu oficiālo elektronisko adrešu katalogā iekļauj informāciju par izveidotajām oficiālajām elektroniskajām adresēm. Proti, zvērināts notārs par fiziskas personas e-adreses esamību var pārliecināties pec personas koda, par juridiskas personas - pēc Latvijas Republikas Uzņēmumu reģistra reģistrācijas numura.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12. panta pirmo daļu - "Ja ir aktivizēts oficiālās elektroniskās adreses konts, valsts iestāde un privātpersona sazinās elektroniski un elektronisko dokumentu nosūta, izmantojot oficiālo elektronisko adresi. Ja šā likuma 5. panta otrajā daļā minētā fiziskā persona, kurai ir aktivizēts oficiālās elektroniskās adreses konts, lūdz izmantot citu saziņas kanālu, lūgumu īpaši pamatojot, minēto lūgumu pēc iespējas ņem vērā un izmanto fiziskās personas norādīto dokumenta paziņošanas veidu." Proti, nav piemērojama paralēla saziņa arī uz fizisko adresi, ja personai ir oficiālā elektroniskā adrese.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precizētu redakciju un vienlaikus lūdzam atbilstoši labot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Elektroniski parakstītus paziņojumus mantojuma lietā un informāciju saskaņā ar Notariāta likuma 259.1 panta 2. punktu, zvērināts notārs nosūta uz personas oficiālo elektronisko adresi. Ja personai nav aktivizēts elektroniskās adreses konts, zvērināts notārs nosūta rakstisku paziņojumu uz fiziskās personas deklarēto dzīvesvietu vai citu Fizisko personu reģistrā reģistrēto adresi, bet juridiskai personai – uz komercreģistrā reģistrēto adresi. Mantot aicinātajiem, kas nav reģistrēti Fizisko personu reģistrā, paziņo uz adresi, kura iesniegta mantojuma lietā.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Mantojuma atstājēja pēdējo deklarēto dzīvesvietu apliecina valsts vai pašvaldības iestādes izziņa vai izdruka no Fizisko personu reģistra. Mantinieka dzīvesvietu mantojuma atklāšanās brīdī apliecina pašvaldības iestādes izziņa vai izdruka no Fizisko personu reģistra, vai tiesas nolēmums par juridiskā fakta konstatēšanu. Mantojuma atstājēja pēdējo pastāvīgo dzīvesvietu pārrobežu lietā zvērināts notārs nosaka, ievērojot Eiropas Parlamenta un Padomes 2012. gada 4. jūlija regulas (ES) Nr. 650/2012 par jurisdikciju, piemērojamiem tiesību aktiem, nolēmumu atzīšanu un izpildi un publisku aktu akceptēšanu un izpildi mantošanas lietās un par Eiropas mantošanas apliecības izveidi preambulas 23.un 24. apsvērumā noteikto. Zvērināts notārs ir tiesīgs pieprasīt faktus apliecinošus dokumentus, kā arī uzklausīt personu paziņojumus.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10. panta asototo daļu,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 Lūdzam skaidrot anotācijā dzīvesvietas informācijas iegūšanas dokumentu kārtību, ievērojot augstāk minēto tiesību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24-TA-2547</w:t>
    </w:r>
    <w:r>
      <w:br/>
    </w:r>
    <w:r w:rsidR="00000000" w:rsidRPr="00000000" w:rsidDel="00000000">
      <w:rPr>
        <w:rtl w:val="0"/>
      </w:rPr>
      <w:t xml:space="preserve">Izdrukāts 29.10.2024.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24-TA-2547</w:t>
    </w:r>
    <w:r>
      <w:br/>
    </w:r>
    <w:r w:rsidR="00000000" w:rsidRPr="00000000" w:rsidDel="00000000">
      <w:rPr>
        <w:rtl w:val="0"/>
      </w:rPr>
      <w:t xml:space="preserve">Izdrukāts 29.10.2024.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Atzinumi_24-TA-2547.docx</dc:title>
</cp:coreProperties>
</file>

<file path=docProps/custom.xml><?xml version="1.0" encoding="utf-8"?>
<Properties xmlns="http://schemas.openxmlformats.org/officeDocument/2006/custom-properties" xmlns:vt="http://schemas.openxmlformats.org/officeDocument/2006/docPropsVTypes"/>
</file>