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vienoto valsts interneta plūsmu apmaiņas punktu (GLV-IX)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Juridiska persona, tai skaitā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iesniedz pieteikumu GLV-IX pakalpojuma saņemšanai Nacionālajam kiberdrošības centram,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reiz 4. punktā minētām iestādēm pievienošanās GLV-IX ir obligāta, tad prasība iesniegt pieteikumu par pievienošanos, ir neadekvāta. Uzskatām, ka pieslēgšanas process ir jāvada Nacionālajam kiberdrošības centram, tas ir, centram ir jāsūta pieprasījums norādīt iestāžu kontaktpersonas. Tas ļaus koordinēti un plānveidīgi organizēt darbus, palielinās tiesīgo paļāvību. Līdz ar to maināma punkta redakcija, svītrojami vārdi - "tai skaitā šo noteikumu 4. punktā minētās".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15.07.2024.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15.07.2024.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Atzinumi_24-TA-97.docx</dc:title>
</cp:coreProperties>
</file>

<file path=docProps/custom.xml><?xml version="1.0" encoding="utf-8"?>
<Properties xmlns="http://schemas.openxmlformats.org/officeDocument/2006/custom-properties" xmlns:vt="http://schemas.openxmlformats.org/officeDocument/2006/docPropsVTypes"/>
</file>