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riskus un nodrošinātu ciešāku sasaisti ar NAP2027, IZM un augstskolām jānodrošina pietiekams, prognozējams finansējums darba samaksai un tenūras sistēmas ieviešanai, kā arī jānosaka skaidri kritēriji amatā paaugstināšanas un pensionēšanās procesiem. Vienlaikus nepieciešams aktīvi īstenot pasākumus dzimumu līdztiesības un jauno pētnieku paaudzes atbalstam, lai stiprinātu cilvēkkapitālu un sekmētu inovāciju potenciālu. Lūdzam rast iespēju šos aspektus iekļaut Konceptuālajā ziņojumā.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Kravinskis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 darba samaksas aprēķini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nevar atbalstīt tik strauju paredzēto darba samaksas pieauguma tempu, lai gan izprot nepieciešamību virzībai uz konkuretspējīgu atlīdzību. Vienlaikus norādāms, ka piesaiste darba samaksas pieaugumam konkrētai nodarbināto grupai pie daļas no tās pašas nodarbināto grupas un sektora rada situāciju, ka nospraustais mērķis nekad nevar tikt sasniegts (ar to domājot "pret vidējo bruto darba samaksu 2022. gadā sabiedriskajā sektorā strādājošajiem ar doktora grādu").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 darba samaksas aprēķini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jau ir pieejami Centrālās statistikas pārvaldes jaunākie dati un lai saprastu potenciālā darba samaksas piedāvājuma mērogu ierosinam papildināt pielikumu ar aktuālākiem datiem "Kopējais normālā darba laika augstskolu vēlētā akadēmiskā personāla skaits un zinātniskajos institūtos akadēmiskajos amatos ievēlēto darbinieku skaits " papildinot tos ar izmaiņām 2023. un 2024.gados. Minētais sniegtu reālāku un patiesāku ainu cita starpā arī uz nodarbināto skaita izmaiņām sabiedriskjā sektorā. Vienlaikus, ja vien tas ir iespējams, būtu ļoti labi redzēt arī kopējo nodarbināto </w:t>
            </w:r>
            <w:r w:rsidR="00000000" w:rsidRPr="00000000" w:rsidDel="00000000">
              <w:rPr>
                <w:u w:val="single"/>
                <w:rtl w:val="0"/>
              </w:rPr>
              <w:t xml:space="preserve">personu </w:t>
            </w:r>
            <w:r w:rsidR="00000000" w:rsidRPr="00000000" w:rsidDel="00000000">
              <w:rPr>
                <w:i w:val="1"/>
                <w:u w:val="single"/>
                <w:rtl w:val="0"/>
              </w:rPr>
              <w:t xml:space="preserve"> skaitu,</w:t>
            </w:r>
            <w:r w:rsidR="00000000" w:rsidRPr="00000000" w:rsidDel="00000000">
              <w:rPr>
                <w:i w:val="1"/>
                <w:rtl w:val="0"/>
              </w:rPr>
              <w:t xml:space="preserve"> jo īpaši ņemot vērā nepilna laika nodarbinātības aspektu.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2.15.nodaļā ir norādīts : "Ja tiek ieviest trešais risinājums, akadēmiskā personāla darba samaksas finansēšanu var īstenot augstākajai izglītībai un zinātnei piešķirtā finansējuma ietvaros, ja konkrētajai institūcijai ir tam nepieciešamais finansējums , neatkarīgi no finansējuma avota, kā arī ātrāk, nekā sniegtajā īstenošanas laika grafikā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skaidrojumu vai šādā gadījumā  nevar veidoties situācija, ka tomēr konkrētā darba samaksas sistēma netiks objektīvi ieviesta, jo augstskolai vai zinātniskam institūtam būs nepietiekams finansējums. Kā arī norādīt vai ir plānoti kādi uzraudzības mehānismi, lai šādas situācijas būtu iespējams novērst.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ietver dziļu un detalizētu informāciju kā mainīsies amata vietu nosaukumi un struktūra, sniedzot ļoti detalizētus skaidrojumus un pamatojumus. Tāpat sniegts padziļināts vērtējums attiecībā uz nodarbinātības juridiskajiem aspektiem, nepilna laika nodarbinātību un sasaisti ar esošo darba samaksas sistēmu, kā arī iezīmēts virziens turpmākai perspektīvai. Vienlaikus nav sniegts vērtējums kā un vai skaitliski mainīsies esošo akadēmisko amata vietu skaits, īpaši ņemot vērā gan valsts demogrāfisko situāciju, kā arī virzienu, kas ir vērsts uz sabiedriskajā sektorā nodarbināto skaita optimizāciju. Lūdzam rast iespēju papildināt Konceptuālo ziņojumu norādot cik kopumā ir akadēmiskās amata vietas un vai turpmāk mainīsies to kopējais skaits. Ja tiek paredzētas izmaņas akadēmisko amata vietu skaita ziņā, lūdzam arī norādīt par cik tās mainīsies.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05.09.2025.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05.09.2025.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