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Jāņem vērā, ka novecojušas un neefektīvas apkures iekārtas, kuru nomaiņa atbilst nosacījumiem, lielā gadījumā ir tieši mazturīgākajiem iedzīvotājiem, kuri nevarēs apliecināt, ka tiem ir pieejami nepieciešamie finanšu resursi projekta īstenošanai, tai skaitā, ja nepieciešams, ir iespējas piesaistīt nepieciešamo finansējumu no kredītiestādēm, tai skaitā līdzfinansējuma daļas segšanai. Līdz ar to pastāv risks, ka pasākuma mērķis pēc būtības var netikt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13.01.2023.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13.01.2023.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