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Enerģijas lietotāju apgādes kārtība izsludinātas enerģētiskās krīzes laikā un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par valsts apdraudējumu uzskatāms tikai īpaši augsts terorisma draudu līmenis, ja ir noticis terora akts vai terora akts vairs nav novēršams elektroenerģijas vai dabasgāzes 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par valsts apdraudējumu uzskatāmi draudi valsts suverenitātei vai ja ir noticis terora akts, vai terora akts elektroenerģijas, vai dabasgāzes apgādes sistēmai nav novēršams.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terorakts var izraisīt domino efektu, kā rezultātā var tikt apdraudēta valsts pastāvēšana (rezonanses 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Militārs iebrukums (draudi suverenitātei) ar neatbildīs terorisma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pārvades sistēmas operators sadarbībā ar elektroenerģijas sadales sistēmas operatoriem un Ministriju sagatavo un saskaņo ar Centru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lietotāju un to objektu sarakstu, ņemot vērā seku smagumu, kas iestāsies, ierobežojot vai pārtraucot elektroenerģijas piegādi attiecīgā lietotāja objektam valsts enerģētiskās krīzes laikā. Sarakstu atjauno pēc nepieciešamības, bet ne retāk kā reizi trīs gados, un elektroenerģijas pārvades sistēmas operators informē attiecīgos lietotājus par iekļaušanu sarakstā vai svītrošanu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iepriekš saskaņot sarakstu un nepieciešamās rīcības izrunāt ar atbilstošās pašvaldības atbildīgajiem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civilā aizsardzības plāna ietvaros plāno resursus, kuros krīzes gadījumā paredzētas operatīvas darbības. Nepieciešams nodrošināt, lai šādiem objektiem netiek pārtraukta enerģijas piegāde. Tā pat nepieciešams preventīvi definēt procedūras, kurās pašvaldība var veikt energoapgādes samazināšanu savos objektos vai iesaistīties to koordinēšanā.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Vienotais dabasgāzes sistēmas operators un dabasgāzes sadales sistēmas operators izstrādā un elektroniska dokumenta formā iesniedz Ministrijā atbilstoši dabasgāzes lietotāju grupai dabasgāzes patēriņa ierobežošanas vai pārtraukšanas rīcības plānu valsts enerģētiskās krīzes laikā (turpmāk – plāns) un pirmās, otrās un trešās grupas dabasgāzes lietotāju sarakstu. Minētā informācija atjaunojama pēc nepieciešamības, bet ne retāk kā reizi trīs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iepriekš saskaņot sarakstu un nepieciešamās rīcības izrunāt ar atbilstošās pašvaldības atbildīgajiem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civilā aizsardzības plāna ietvaros plāno resursus, kuros krīzes gadījumā paredzētas operatīvas darbības. Nepieciešams nodrošināt, lai šādiem objektiem netiek pārtraukta enerģijas piegāde. Tā pat nepieciešams preventīvi definēt procedūras, kurās pašvaldība var veikt energoapgādes samazināšanu savos objektos vai iesaistīties to koordinēšanā.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Ekonomikas ministrija sadarbībā ar Ministriju sagatavo un saskaņo ar Centru ceturtās grupas dabasgāzes lietotāju un to gazificēto objektu sarakstu, ņemot vērā dabasgāzes lietotāja nozīmi tautsaimniecībā, kā arī seku smagumu, kas iestāsies, ierobežojot vai pārtraucot dabasgāzes piegādi attiecīgā lietotāja gazificētajam objektam valsts enerģētiskās krīzes laikā. Sarakstu atjauno pēc nepieciešamības, bet ne retāk kā reizi trīs gados, un Ekonomikas ministrija informē attiecīgos lietotājus par iekļaušanu sarakstā vai svītrošanu no tā. Saraksts tiek nosūtīts dabasgāzes  sadales sistēmas operatoram.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iepriekš saskaņot sarakstu un nepieciešamās rīcības izrunāt ar atbilstošās pašvaldības atbildīgajiem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civilā aizsardzības plāna ietvaros plāno resursus, kuros krīzes gadījumā paredzētas operatīvas darbības. Nepieciešams nodrošināt, lai šādiem objektiem netiek pārtraukta enerģijas piegāde. Tā pat nepieciešams preventīvi definēt procedūras, kurās pašvaldība var veikt energoapgādes samazināšanu savos objektos vai iesaistīties to koordinēšanā.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Centralizētajā siltumenerģijas apgādē attiecīgā pašvaldība var izsludināt vietējo enerģētisko krīzi. Rīkojuma projektu par vietējo enerģētisko krīzi pašvaldība sagatavo, ņemot vērā energoapgādes komersanta, kas piegādā siltumenerģiju galalietotājiem,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pēc kādiem kritērijiem pašvaldības var izsludināt vietējo enerģētisko krīzi. Kādi apstākļi uzskatāmi par atbilstošiem krīzes izsludināšanai.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03.05.2024.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03.05.2024.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Atzinumi_24-TA-215.docx</dc:title>
</cp:coreProperties>
</file>

<file path=docProps/custom.xml><?xml version="1.0" encoding="utf-8"?>
<Properties xmlns="http://schemas.openxmlformats.org/officeDocument/2006/custom-properties" xmlns:vt="http://schemas.openxmlformats.org/officeDocument/2006/docPropsVTypes"/>
</file>