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var piekrist Valsts kancelejas paustajiem apsvērumiem par to, ka esošā 88. panta trešā un ceturtā daļa praksē nestrādā. Vienlaikus LTRK vērš uzmanību, ka minētās tiesību normas veicina publiskas personas atklātību pret sabiedrību. Ne mazāk būtiski ir tas, ka šāds regulējums  privātajiem tirgus dalībniekiem rada tiesisko paļāvība attiecībā uz to, kas, publiskās personas vērtējumā, ir atzīstams par stratēģiski vai drošībai svarīgu īpašumu, preci vai pakalpojumu, vai kurā tirgus segmentā konstatējama tirgus nepilnība un līdz ar to ir sagaidāms, kur publiskā persona iesaistīties caur savu kapitālsabiedrību. Ņemot vērā minēto, LTRK aicina Valsts kanceleju precizēt 88. panta ceturto daļu, nosakot, ka publiskām personām ir pienākums ar ārēju normatīvo aktu vai lēmumu, kas abos gadījumos nodrošina, ka privātpersonām ir tiesisks pamats savu interešu aizstāvībai, un kas nosaka tirgus nepilnību vai tādus īpašumus, vai preces un pakalpojumus, kas ir stratēģiski svarīgi. Kaut arī būtībā ar grozījumiem Publiskas personas kapitāla daļu un kapitālsabiedrību pārvaldības likumā tiek atrunāts mehānisms, kā tiek pieņemts lēmumu par publiskas personas līdzdalības stratēģiju, līdzdalības saglabāšanu vai līdzdalības apmēra izmaiņām kapitālsabiedrībā, LTRK ieskatā arī Valsts pārvaldes iekārtas likumā, kas ir vadošais likums valsts pārvaldes darbībai, ir jāietver, ka tiek nodrošināti tiesiskās paļāvības mehānismi. Turklāt jānorāda, ka 88. pants nav attiecināms uz publisko personu iestādēm vai aģentūrām, taču arī šādā formā publiskas personas mēdz sniegt pakalpojumus brīvā tirgū un ir jārod risinājums to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21.06.2024.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21.06.2024.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