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25-TA-649: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Sistēmas operators bez papildu maksas nodrošina lietotājam vai trešajai personai, kas darbojas lietotāja vārdā, šo noteikumu </w:t>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minētos datus, kā arī to vēsturi par iepriekšējiem diviem gadiem standartizētā komunikācijas saskarnē, ar attālinātas piekļuves starpniecību vai tos lejuplādējot.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Skaidrības labad būtu jāprecizē, no kura brīža minētais periods – divi gadi – attiecināmi, piemēram, no datu pieprasījuma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12.</w:t>
            </w:r>
            <w:r w:rsidR="00000000" w:rsidRPr="00000000" w:rsidDel="00000000">
              <w:rPr>
                <w:i w:val="1"/>
                <w:vertAlign w:val="superscript"/>
                <w:rtl w:val="0"/>
              </w:rPr>
              <w:t xml:space="preserve">3</w:t>
            </w:r>
            <w:r w:rsidR="00000000" w:rsidRPr="00000000" w:rsidDel="00000000">
              <w:rPr>
                <w:i w:val="1"/>
                <w:rtl w:val="0"/>
              </w:rPr>
              <w:t xml:space="preserve"> Sistēmas operators bez papildu maksas nodrošina lietotājam vai trešajai personai, kas darbojas lietotāja vārdā, šo noteikumu 12.</w:t>
            </w:r>
            <w:r w:rsidR="00000000" w:rsidRPr="00000000" w:rsidDel="00000000">
              <w:rPr>
                <w:i w:val="1"/>
                <w:vertAlign w:val="superscript"/>
                <w:rtl w:val="0"/>
              </w:rPr>
              <w:t xml:space="preserve">2 </w:t>
            </w:r>
            <w:r w:rsidR="00000000" w:rsidRPr="00000000" w:rsidDel="00000000">
              <w:rPr>
                <w:i w:val="1"/>
                <w:rtl w:val="0"/>
              </w:rPr>
              <w:t xml:space="preserve">punktā minētos datus, kā arī to vēsturi par iepriekšējiem diviem gadiem </w:t>
            </w:r>
            <w:r w:rsidR="00000000" w:rsidRPr="00000000" w:rsidDel="00000000">
              <w:rPr>
                <w:i w:val="1"/>
                <w:u w:val="single"/>
                <w:rtl w:val="0"/>
              </w:rPr>
              <w:t xml:space="preserve">(skaitot no datu pieprasījuma dienas)</w:t>
            </w:r>
            <w:r w:rsidR="00000000" w:rsidRPr="00000000" w:rsidDel="00000000">
              <w:rPr>
                <w:i w:val="1"/>
                <w:rtl w:val="0"/>
              </w:rPr>
              <w:t xml:space="preserve"> standartizētā komunikācijas saskarnē, ar attālinātas piekļuves starpniecību vai tos lejuplādējot.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Varnovska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26</w:t>
            </w:r>
            <w:r w:rsidR="00000000" w:rsidRPr="00000000" w:rsidDel="00000000">
              <w:rPr>
                <w:rtl w:val="0"/>
              </w:rPr>
              <w:t xml:space="preserve"> Aktīvā lietotāja līgumā ar enerģijas kopīgošanas organizatoru vai citu trešo personu par enerģijas kopīgošanas organizēšanu var ietvert šādus pienākumus, kurus aktīvais lietotājs var uzdot enerģijas kopīgošanas organizatoram: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pēdējās Elektroenerģijas tirgus likuma (turpmāk – ETL) grozījumu redakcijas (25-TA-409) 1. panta otrās daļas 29.</w:t>
            </w:r>
            <w:r w:rsidR="00000000" w:rsidRPr="00000000" w:rsidDel="00000000">
              <w:rPr>
                <w:vertAlign w:val="superscript"/>
                <w:rtl w:val="0"/>
              </w:rPr>
              <w:t xml:space="preserve">1</w:t>
            </w:r>
            <w:r w:rsidR="00000000" w:rsidRPr="00000000" w:rsidDel="00000000">
              <w:rPr>
                <w:rtl w:val="0"/>
              </w:rPr>
              <w:t xml:space="preserve"> punktu </w:t>
            </w:r>
            <w:r w:rsidR="00000000" w:rsidRPr="00000000" w:rsidDel="00000000">
              <w:rPr>
                <w:i w:val="1"/>
                <w:rtl w:val="0"/>
              </w:rPr>
              <w:t xml:space="preserve">enerģijas kopīgošanas organizators – aktīvā lietotāja iecelta trešā persona, kas aktīvā lietotāja vārdā veic ar enerģijas kopīgošanas organizēšanu saistītus pienākumus</w:t>
            </w:r>
            <w:r w:rsidR="00000000" w:rsidRPr="00000000" w:rsidDel="00000000">
              <w:rPr>
                <w:rtl w:val="0"/>
              </w:rPr>
              <w:t xml:space="preserve">. Tādējādi trešā persona, ar kuru slēdz līgumu par kopīgošanu, ir enerģijas kopīgošanas organizators, citas trešās personas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Varnovska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7. informācija par vienreizējiem maksājumiem, īpašiem piedāvājumiem, atlaidēm un papildu pakalpojumiem, tai skaitā sistēmas operatora sniegtajiem pakalpojumiem saskaņā ar sistēmas operatora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ETL 5. panta otro daļu </w:t>
            </w:r>
            <w:r w:rsidR="00000000" w:rsidRPr="00000000" w:rsidDel="00000000">
              <w:rPr>
                <w:i w:val="1"/>
                <w:rtl w:val="0"/>
              </w:rPr>
              <w:t xml:space="preserve">tirgus dalībniekam ir tiesības elektroenerģijas transportēšanai izmantot pārvades un sadales sistēmas par šajā likumā un likumā “Par sabiedrisko pakalpojumu regulatoriem” paredzētajā kārtībā </w:t>
            </w:r>
            <w:r w:rsidR="00000000" w:rsidRPr="00000000" w:rsidDel="00000000">
              <w:rPr>
                <w:i w:val="1"/>
                <w:u w:val="single"/>
                <w:rtl w:val="0"/>
              </w:rPr>
              <w:t xml:space="preserve">noteiktajiem sistēmas pakalpojumu tarifiem</w:t>
            </w:r>
            <w:r w:rsidR="00000000" w:rsidRPr="00000000" w:rsidDel="00000000">
              <w:rPr>
                <w:i w:val="1"/>
                <w:rtl w:val="0"/>
              </w:rPr>
              <w:t xml:space="preserve">.</w:t>
            </w:r>
            <w:r w:rsidR="00000000" w:rsidRPr="00000000" w:rsidDel="00000000">
              <w:rPr>
                <w:rtl w:val="0"/>
              </w:rPr>
              <w:t xml:space="preserve"> Sistēmas pakalpojumu tarifu noteikšanu reglamentē ETL 16. un 20.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nepieciešams precizēt Projekta 22.</w:t>
            </w:r>
            <w:r w:rsidR="00000000" w:rsidRPr="00000000" w:rsidDel="00000000">
              <w:rPr>
                <w:vertAlign w:val="superscript"/>
                <w:rtl w:val="0"/>
              </w:rPr>
              <w:t xml:space="preserve">2</w:t>
            </w:r>
            <w:r w:rsidR="00000000" w:rsidRPr="00000000" w:rsidDel="00000000">
              <w:rPr>
                <w:rtl w:val="0"/>
              </w:rPr>
              <w:t xml:space="preserve">7. apakšpunktu vai Anotācijā sniegt skaidrojumu par to, kas ir jāsaprot ar “sistēmas operatora cenrādi” un uz kādiem pakalpojumiem tas 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Varnovska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elektroenerģijas tirdzniecības līgumā, kas ar lietotāju noslēgts uz noteiktu laiku, paredzēta maksa par līguma pirmstermiņa izbeigšanu, tā jānosaka tādā veidā, lai no līguma spēkā stāšanās brīža maksa par līguma pirmstermiņa izbeigšanu ne retāk kā katrus trīs mēnešus tiktu samazināta proporcionāli elektroenerģijas piegādes laikam līdz līguma pirmstermiņa izbeigšanai. Maksa par līguma pirmstermiņa izbeigšanu nevar pārsniegt prognozētos tirgotāja ieņēmumus no attiecīgā līguma visā līguma darbības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Direktīvas Nr. 2019/944 12. panta 2. punktā noteikts dalībvalstu pienākums nodrošināt, </w:t>
            </w:r>
            <w:r w:rsidR="00000000" w:rsidRPr="00000000" w:rsidDel="00000000">
              <w:rPr>
                <w:i w:val="1"/>
                <w:rtl w:val="0"/>
              </w:rPr>
              <w:t xml:space="preserve">ka vismaz no mājsaimniecības lietotājiem un mazajiem uzņēmumiem neiekasē nekādu maksu saistībā ar maiņu.</w:t>
            </w:r>
            <w:r w:rsidR="00000000" w:rsidRPr="00000000" w:rsidDel="00000000">
              <w:rPr>
                <w:rtl w:val="0"/>
              </w:rPr>
              <w:t xml:space="preserve"> Savukārt minētā panta 3. punkts noteic, ka, atkāpjoties no vispārēja regulējuma, </w:t>
            </w:r>
            <w:r w:rsidR="00000000" w:rsidRPr="00000000" w:rsidDel="00000000">
              <w:rPr>
                <w:i w:val="1"/>
                <w:rtl w:val="0"/>
              </w:rPr>
              <w:t xml:space="preserve">dalībvalstis var izvēlēties atļaut piegādātājiem (..) iekasēt no lietotājiem maksu par līguma izbeigšanu, ja minētie lietotāji pēc savas vēlēšanās izbeidz elektroenerģijas piegādes līgumus ar fiksētu termiņu, fiksētu cenu pirms līguma termiņa beigām, ar noteikumu, ka šādas maksas ir paredzētas līgumā (..).</w:t>
            </w:r>
            <w:r w:rsidR="00000000" w:rsidRPr="00000000" w:rsidDel="00000000">
              <w:rPr>
                <w:rtl w:val="0"/>
              </w:rPr>
              <w:t xml:space="preserve"> Vienlaikus minētā norma noteic, ka </w:t>
            </w:r>
            <w:r w:rsidR="00000000" w:rsidRPr="00000000" w:rsidDel="00000000">
              <w:rPr>
                <w:i w:val="1"/>
                <w:rtl w:val="0"/>
              </w:rPr>
              <w:t xml:space="preserve">šādas maksas ir samērīgas un nepārsniedz tiešos ekonomiskos zaudējumus, kas rodas piegādātājam (..) saistībā ar to, ka lietotājs izbeidz līgumu, ieskaitot izmaksas par visām grupētajām investīcijām vai pakalpojumiem, kas jau sniegti lietotājam saskaņā ar līgumu. Pierādīšanas pienākums par tiešo ekonomisko zaudējumu ir piegādātājam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Direktīvas Nr. 2019/944 12. panta 3. punktā noteiktais regulējums paredz dalībvalstu rīcības brīvību noteikt izņēmumu no 2. punktā noteiktā vispārējā regulējuma, atļaujot tirgotājiem iekasēt no lietotājiem maksu par līguma (pirmstermiņa) izbeigšanu. Tomēr, ja dalībvalsts izvēlas atļaut tirgotājiem iekasēt šo maksu, tad dalībvalsts rīcības brīvība ir ierobežota un vismaz attiecībā uz mājsaimniecības lietotājiem un mazajiem uzņēmumiem šāda maksa ir pieļaujama, ja vienlaikus izpildās trīs nosacījumi – tirdzniecības līgums tiek slēgts uz fiksētu termiņu (uz noteiktu laiku), šajā </w:t>
            </w:r>
            <w:r w:rsidR="00000000" w:rsidRPr="00000000" w:rsidDel="00000000">
              <w:rPr>
                <w:u w:val="single"/>
                <w:rtl w:val="0"/>
              </w:rPr>
              <w:t xml:space="preserve">līgumā noteikta fiksēta elektroenerģijas cena</w:t>
            </w:r>
            <w:r w:rsidR="00000000" w:rsidRPr="00000000" w:rsidDel="00000000">
              <w:rPr>
                <w:rtl w:val="0"/>
              </w:rPr>
              <w:t xml:space="preserve"> un </w:t>
            </w:r>
            <w:r w:rsidR="00000000" w:rsidRPr="00000000" w:rsidDel="00000000">
              <w:rPr>
                <w:u w:val="single"/>
                <w:rtl w:val="0"/>
              </w:rPr>
              <w:t xml:space="preserve">maksa par līguma (pirmstermiņa) izbeigšanu</w:t>
            </w:r>
            <w:r w:rsidR="00000000" w:rsidRPr="00000000" w:rsidDel="00000000">
              <w:rPr>
                <w:rtl w:val="0"/>
              </w:rPr>
              <w:t xml:space="preserve"> ir samērīga, t.i., </w:t>
            </w:r>
            <w:r w:rsidR="00000000" w:rsidRPr="00000000" w:rsidDel="00000000">
              <w:rPr>
                <w:u w:val="single"/>
                <w:rtl w:val="0"/>
              </w:rPr>
              <w:t xml:space="preserve">nepārsniedz tiešos ekonomiskos zaudējumus</w:t>
            </w:r>
            <w:r w:rsidR="00000000" w:rsidRPr="00000000" w:rsidDel="00000000">
              <w:rPr>
                <w:rtl w:val="0"/>
              </w:rPr>
              <w:t xml:space="preserve">, kuru rašanos tirgotājam strīdu gadījumā būs jāpierāda.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Regulatora ieskatā, par Direktīvai Nr. 2019/944 neatbilstošu var tikt atzīts Projekta 23. punktā paredzētais regulējums, no kura izriet, ka maksu par līguma (pirmstermiņa) izbeigšanu mājsaimniecības lietotājiem un mazajiem uzņēmumiem var piemērot arī gadījumā, ja tirdzniecības līgumā, kas noslēgts uz noteiktu laiku, nav noteikta fiksēta cena. Tāpat par Direktīvai Nr. 2019/944 neatbilstošu var tikt atzīts minētajā punktā noteiktais regulējums, kas attiecībā uz minētajiem lietotājiem maksimālo maksu par līguma pirmstermiņa izbeigšanu saista ar prognozētajiem tirgotāja ieņēmumiem no attiecīgā līguma visā līguma darbības laikā, nevis tiešajiem ekonomiskajiem zaudējumus, kas rodas tirgotājam saistībā ar to, ka lietotājs izbeidz līgumu. Pašreizējā redakcija pēc būtības nodrošina tirgotājam jau iepriekš plānoto peļņu, jo prognozētie ieņēmumi ietver gan pašizmaksu, gan tirgotāja peļņas maržu. Turklāt Projekta 23. punktā noteiktais regulējums faktiski atbrīvo tirgotāju ne tikai no pienākuma kā rūpīgam komersantam veikt darbības, lai ierobežotu iespējamos ekonomiskos zaudējumus, kas tam var rasties līguma pirmstermiņa izbeigšanas dēļ, bet arī no Direktīvā Nr. 2019/944 noteiktā pienākuma pierādīt tiešos ekonomiskos zaudējumus. Direktīvas mērķis ir kompensēt reālos ekonomiskos zaudējumus, nevis garantēt peļņu par nesniegtu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nepieciešams precizēt gan Projekta 23. punktu, gan Anotāciju saistībā ar maksu par līguma pirmstermiņa izbeigšanu.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Varnovska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Tirgotājs vienpusēji neizbeidz elektroenerģijas tirdzniecības līgumu, ja lietotājs ir iesniedzis tirgotājam izskatīšanai sūdzību par sniegto pakalpojumu kvalitāti vai vērsies regulatorā ar iesniegumu par strīda ārpustiesas izskatīšanu. Minētās sūdzības iesniegšana vai lietotāja vēršanās regulatorā neietekmē pušu tiesības un pienākumus, kas izriet no noslēgtā elektroenerģijas tirdzniecības 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Direktīvā Nr. 2024/1711 ietverto Direktīvas Nr. 2019/944 28.a panta 1. punktu </w:t>
            </w:r>
            <w:r w:rsidR="00000000" w:rsidRPr="00000000" w:rsidDel="00000000">
              <w:rPr>
                <w:i w:val="1"/>
                <w:rtl w:val="0"/>
              </w:rPr>
              <w:t xml:space="preserve">dalībvalstis, veicot atbilstošus pasākumus, tostarp aizliedzot atslēgšanu vai citas līdzīgas darbības, nodrošina, ka </w:t>
            </w:r>
            <w:r w:rsidR="00000000" w:rsidRPr="00000000" w:rsidDel="00000000">
              <w:rPr>
                <w:i w:val="1"/>
                <w:u w:val="single"/>
                <w:rtl w:val="0"/>
              </w:rPr>
              <w:t xml:space="preserve">neaizsargātie lietotāji un enerģētiskās nabadzības skartie lietotāji ir pilnībā aizsargāti</w:t>
            </w:r>
            <w:r w:rsidR="00000000" w:rsidRPr="00000000" w:rsidDel="00000000">
              <w:rPr>
                <w:i w:val="1"/>
                <w:rtl w:val="0"/>
              </w:rPr>
              <w:t xml:space="preserve"> pret elektroenerģijas atslēgšanu</w:t>
            </w:r>
            <w:r w:rsidR="00000000" w:rsidRPr="00000000" w:rsidDel="00000000">
              <w:rPr>
                <w:rtl w:val="0"/>
              </w:rPr>
              <w:t xml:space="preserve">. Līdz ar to arī šā panta 2. punktā noteiktais pilnīgas aizsardzības pasākums (aizliegums izbeigt līgumu un atslēgt) būtu attiecināms tikai uz minētajiem lietotājiem, nevis visiem lietotājiem, tostarp juridiskām personām un mājsaimniecību lietotājiem, kas nav uzskatāmi par neaizsargātiem un enerģētiskās nabadzības skartiem lietotājiem. Atbilstoši Direktīvas Nr. 2019/944 28. panta 1. punktam </w:t>
            </w:r>
            <w:r w:rsidR="00000000" w:rsidRPr="00000000" w:rsidDel="00000000">
              <w:rPr>
                <w:i w:val="1"/>
                <w:rtl w:val="0"/>
              </w:rPr>
              <w:t xml:space="preserve">katra dalībvalsts definē neaizsargāta lietotāja jēdzienu, kas var būt ar atsauci uz enerģētisko nabadzību un, inter alia, uz aizliegumu krīžu laikā atslēgt elektroenerģijas padevi šādiem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lai novērstu iespēju, ka aizliegumu izbeigt tirdzniecības līgumu un atslēgt elektroenerģijas piegādi negodprātīgi izmanto lietotāji, kas neatbilst attiecīgajam statusam, Regulatora ieskatā, arī Noteikumu projekta 26.</w:t>
            </w:r>
            <w:r w:rsidR="00000000" w:rsidRPr="00000000" w:rsidDel="00000000">
              <w:rPr>
                <w:vertAlign w:val="superscript"/>
                <w:rtl w:val="0"/>
              </w:rPr>
              <w:t xml:space="preserve">1</w:t>
            </w:r>
            <w:r w:rsidR="00000000" w:rsidRPr="00000000" w:rsidDel="00000000">
              <w:rPr>
                <w:rtl w:val="0"/>
              </w:rPr>
              <w:t xml:space="preserve"> punktā noteiktais aizliegums tirgotājam izbeigt tirdzniecības līgumu būtu attiecināms tikai uz aizsargātajiem lietotājiem (ETL 1. panta otrās daļas 3. punkta izpratnē), nevis visiem elektroenerģijas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jānorāda, ka saskaņā ar likuma “Par sabiedrisko pakalpojumu regulatoriem” 32. panta trešo daļu </w:t>
            </w:r>
            <w:r w:rsidR="00000000" w:rsidRPr="00000000" w:rsidDel="00000000">
              <w:rPr>
                <w:i w:val="1"/>
                <w:rtl w:val="0"/>
              </w:rPr>
              <w:t xml:space="preserve">sabiedrisko pakalpojumu sniedzējam un lietotājam ir tiesības strīdu risināt tiesā Civilprocesa likumā noteiktajā kārtībā, </w:t>
            </w:r>
            <w:r w:rsidR="00000000" w:rsidRPr="00000000" w:rsidDel="00000000">
              <w:rPr>
                <w:i w:val="1"/>
                <w:u w:val="single"/>
                <w:rtl w:val="0"/>
              </w:rPr>
              <w:t xml:space="preserve">nevēršoties regulatorā</w:t>
            </w:r>
            <w:r w:rsidR="00000000" w:rsidRPr="00000000" w:rsidDel="00000000">
              <w:rPr>
                <w:i w:val="1"/>
                <w:rtl w:val="0"/>
              </w:rPr>
              <w:t xml:space="preserve"> ar iesniegumu par strīda izskatīšanu.</w:t>
            </w:r>
            <w:r w:rsidR="00000000" w:rsidRPr="00000000" w:rsidDel="00000000">
              <w:rPr>
                <w:rtl w:val="0"/>
              </w:rPr>
              <w:t xml:space="preserve"> Savukārt minētā panta sestā daļa noteic, ka </w:t>
            </w:r>
            <w:r w:rsidR="00000000" w:rsidRPr="00000000" w:rsidDel="00000000">
              <w:rPr>
                <w:i w:val="1"/>
                <w:rtl w:val="0"/>
              </w:rPr>
              <w:t xml:space="preserve">strīdu par zaudējumiem, maksājuma dokumentiem vai parāda piedziņu izskata tiesa Civilprocesa likumā  noteiktajā kārtībā.</w:t>
            </w:r>
            <w:r w:rsidR="00000000" w:rsidRPr="00000000" w:rsidDel="00000000">
              <w:rPr>
                <w:rtl w:val="0"/>
              </w:rPr>
              <w:t xml:space="preserve"> Minētais attiecas uz strīdu izskatīšanu visās regulējamās nozarēs, tostarp enerģētikā. Arī ETL 5. panta trešā daļa noteic, ka </w:t>
            </w:r>
            <w:r w:rsidR="00000000" w:rsidRPr="00000000" w:rsidDel="00000000">
              <w:rPr>
                <w:i w:val="1"/>
                <w:rtl w:val="0"/>
              </w:rPr>
              <w:t xml:space="preserve">strīdus par sistēmas dalībnieku vai elektroenerģijas tirgotāju izsniegtajiem rēķiniem izskata Civilprocesa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būtu apsverama nepieciešamība aizliegumu tirgotājam vienpusēji izbeigt elektroenerģijas tirdzniecības līgumu un aizliegumu atslēgt aizsargātā lietotāja objektu attiecināt ne tikai uz gadījumiem, kad strīdu par tirgotāja sniegto pakalpojumu kvalitāti izskata Regulators, bet arī uz gadījumiem, kad attiecīgs strīds starp aizsargāto lietotāju un tirgotāju tiek izskatīts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nepieciešams precizēt Projekta 26.</w:t>
            </w:r>
            <w:r w:rsidR="00000000" w:rsidRPr="00000000" w:rsidDel="00000000">
              <w:rPr>
                <w:vertAlign w:val="superscript"/>
                <w:rtl w:val="0"/>
              </w:rPr>
              <w:t xml:space="preserve">1</w:t>
            </w:r>
            <w:r w:rsidR="00000000" w:rsidRPr="00000000" w:rsidDel="00000000">
              <w:rPr>
                <w:rtl w:val="0"/>
              </w:rPr>
              <w:t xml:space="preserve"> punktu un papildināt Anotāciju, kas saistīta ar šajā punktā noteikto regulējumu. Papildus Projekta 26.</w:t>
            </w:r>
            <w:r w:rsidR="00000000" w:rsidRPr="00000000" w:rsidDel="00000000">
              <w:rPr>
                <w:vertAlign w:val="superscript"/>
                <w:rtl w:val="0"/>
              </w:rPr>
              <w:t xml:space="preserve">1</w:t>
            </w:r>
            <w:r w:rsidR="00000000" w:rsidRPr="00000000" w:rsidDel="00000000">
              <w:rPr>
                <w:rtl w:val="0"/>
              </w:rPr>
              <w:t xml:space="preserve"> punktam Projektā būtu jāietver normas, kas novērš Projekta 26.</w:t>
            </w:r>
            <w:r w:rsidR="00000000" w:rsidRPr="00000000" w:rsidDel="00000000">
              <w:rPr>
                <w:vertAlign w:val="superscript"/>
                <w:rtl w:val="0"/>
              </w:rPr>
              <w:t xml:space="preserve">1</w:t>
            </w:r>
            <w:r w:rsidR="00000000" w:rsidRPr="00000000" w:rsidDel="00000000">
              <w:rPr>
                <w:rtl w:val="0"/>
              </w:rPr>
              <w:t xml:space="preserve"> punktā noteiktā aizlieguma ļaunprātīgu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Varnovska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Viedais elektroenerģijas komercuzskaites mēraparāts trīs fāžu pieslēgumā uzskaita sistēmā nodoto un no sistēmas saņemto elektroenerģiju katrā fāzē atsevišķi pēc algebriskās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Piedāvātā 6.</w:t>
            </w:r>
            <w:r w:rsidR="00000000" w:rsidRPr="00000000" w:rsidDel="00000000">
              <w:rPr>
                <w:vertAlign w:val="superscript"/>
                <w:rtl w:val="0"/>
              </w:rPr>
              <w:t xml:space="preserve">1</w:t>
            </w:r>
            <w:r w:rsidR="00000000" w:rsidRPr="00000000" w:rsidDel="00000000">
              <w:rPr>
                <w:rtl w:val="0"/>
              </w:rPr>
              <w:t xml:space="preserve"> punkta redakcija ietver terminu “algebriskā metode”, kura skaidrojums nav sniegts enerģētikas jomu regulējošos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nepieciešams precizēt Projekta 6.</w:t>
            </w:r>
            <w:r w:rsidR="00000000" w:rsidRPr="00000000" w:rsidDel="00000000">
              <w:rPr>
                <w:vertAlign w:val="superscript"/>
                <w:rtl w:val="0"/>
              </w:rPr>
              <w:t xml:space="preserve">1 </w:t>
            </w:r>
            <w:r w:rsidR="00000000" w:rsidRPr="00000000" w:rsidDel="00000000">
              <w:rPr>
                <w:rtl w:val="0"/>
              </w:rPr>
              <w:t xml:space="preserve">punktu vai Anotācijā sniegt skaidrojumu, ko nozīmē “algebriskā metode”. Proti, “algebriskā metode” nozīmē, ka katra fāze tiek uzskaitīta atsevišķi un tajā patēriņš un ģenerācija tiek saskaitīti algebriski (ar “+” un “−”). Plūsmas starp fāzēm netiek savstarpēji kompensētas.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Varnovska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mājsaimniecības lietotājs, kurš noslēdzis dinamiskas elektroenerģijas cenas līgumu, noteiktajā termiņā neveic maksājumus par elektroenerģiju vai sistēmas operatora pakalpojumiem, tirgotājs ne agrāk kā 10 kalendāra dienas pēc samaksas termiņa beigām nosūta lietotājam brīdinājumu par elektroapgādes pārtraukšanu. Ja lietotājs pēc brīdinājuma nosūtīšanas neveic maksājumus, tirgotājs ne agrāk kā pēc 20 kalendāra dienām ir tiesīgs pieprasīt un sistēmas operatoram ir pienākums atslēgt lietotāja elektroietaises, pilnīgi vai daļēji pārtraucot lietotāja elektroapgādi.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ETL 32.</w:t>
            </w:r>
            <w:r w:rsidR="00000000" w:rsidRPr="00000000" w:rsidDel="00000000">
              <w:rPr>
                <w:vertAlign w:val="superscript"/>
                <w:rtl w:val="0"/>
              </w:rPr>
              <w:t xml:space="preserve">3</w:t>
            </w:r>
            <w:r w:rsidR="00000000" w:rsidRPr="00000000" w:rsidDel="00000000">
              <w:rPr>
                <w:rtl w:val="0"/>
              </w:rPr>
              <w:t xml:space="preserve"> panta pirmajai daļai dinamiskas elektroenerģijas cenas līgums ir  elektroenerģijas piegādes līgums starp elektroenerģijas tirgotāju un galalietotāju, kurā atspoguļotas elektroenerģijas cenu variācijas elektroenerģijas tirgū katrā tirdzniecības intervālā. Tomēr praksē pastāv arī tādi dinamiskās jeb mainīgās cenas līgumi, kur elektroenerģijas cena ir mainīga nevis katrā tirdzniecības intervālā, bet citā laika periodā, piemēram, mēneša, dienas vai konkrētu stundu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Vērtējot Projekta 72. punkta redakciju kopsakarā ar 72.</w:t>
            </w:r>
            <w:r w:rsidR="00000000" w:rsidRPr="00000000" w:rsidDel="00000000">
              <w:rPr>
                <w:vertAlign w:val="superscript"/>
                <w:rtl w:val="0"/>
              </w:rPr>
              <w:t xml:space="preserve">1</w:t>
            </w:r>
            <w:r w:rsidR="00000000" w:rsidRPr="00000000" w:rsidDel="00000000">
              <w:rPr>
                <w:rtl w:val="0"/>
              </w:rPr>
              <w:t xml:space="preserve"> punkta redakciju (kas nosaka elektroenerģijas piegādes pārtraukšanas kārtību mājsaimniecības lietotājam ar fiksētas elektroenerģijas cenas līgumu), Regulators secina, ka minētie Projekta punkti neietver elektroapgādes pārtraukšanas kārtību tiem mājsaimniecības lietotājiem, kuru līgums paredz mainīgu elektroenerģijas cenu, bet neatbilst dinamiskas cenas līguma definīcijai. Tāpat Regulators secina, ka šāda kārtība nav iekļauta arī citos Projekta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nepieciešams attiecīgi papildināt Projektu, iekļaujot tajā kārtību, kādā pārtrauc elektroenerģijas piegādi mājsaimniecības lietotājam ar mainīgu elektroenerģijas cenas līgumu, kurš neatbilst dinamiskas elektroenerģijas cenas līguma definīcijai.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Varnovska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Ja dinamiskas elektroenerģijas cenas līgumu noslēdzis lietotājs, kas nav mājsaimniecības lietotājs, noteiktajā termiņā neveic maksājumus par izlietoto elektroenerģiju vai saņemtajiem sistēmas operatora pakalpojumiem, tirgotājs vai sistēmas operators nosūta lietotājam brīdinājumu par elektroapgādes pārtraukšanu. Ja lietotājs pēc brīdinājumā noteiktā laika neveic maksājumus par izlietoto elektroenerģiju vai saņemtajiem sistēmas operatora pakalpojumiem, tirgotājs ir tiesīgs pieprasīt un sistēmas operatoram ir pienākums atslēgt lietotāja elektroietaises, pilnīgi vai daļēji pārtraucot lietotāja elektroapgādi. Ja lietotājs pēc brīdinājumā noteiktā laika neveic maksājumus par saņemtajiem sistēmas operatora pakalpojumiem, sistēmas operators ir tiesīgs pilnīgi vai daļēji atslēgt lietotāja elektroietaises.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ETL 32.</w:t>
            </w:r>
            <w:r w:rsidR="00000000" w:rsidRPr="00000000" w:rsidDel="00000000">
              <w:rPr>
                <w:vertAlign w:val="superscript"/>
                <w:rtl w:val="0"/>
              </w:rPr>
              <w:t xml:space="preserve">3</w:t>
            </w:r>
            <w:r w:rsidR="00000000" w:rsidRPr="00000000" w:rsidDel="00000000">
              <w:rPr>
                <w:rtl w:val="0"/>
              </w:rPr>
              <w:t xml:space="preserve"> panta pirmajai daļai dinamiskas elektroenerģijas cenas līgums ir  elektroenerģijas piegādes līgums starp elektroenerģijas tirgotāju un galalietotāju, kurā atspoguļotas elektroenerģijas cenu variācijas elektroenerģijas tirgū katrā tirdzniecības intervālā. Tomēr praksē pastāv arī tādi dinamiskās jeb mainīgās cenas līgumi, kur elektroenerģijas cena ir mainīga nevis katrā tirdzniecības intervālā, bet citā laika periodā, piemēram, mēneša, dienas vai konkrētu stundu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Vērtējot Projekta 73. punkta redakciju kopsakarā ar 73.</w:t>
            </w:r>
            <w:r w:rsidR="00000000" w:rsidRPr="00000000" w:rsidDel="00000000">
              <w:rPr>
                <w:vertAlign w:val="superscript"/>
                <w:rtl w:val="0"/>
              </w:rPr>
              <w:t xml:space="preserve">1</w:t>
            </w:r>
            <w:r w:rsidR="00000000" w:rsidRPr="00000000" w:rsidDel="00000000">
              <w:rPr>
                <w:rtl w:val="0"/>
              </w:rPr>
              <w:t xml:space="preserve"> punkta redakciju (kas nosaka elektroenerģijas piegādes pārtraukšanas kārtību lietotājam, kas nav mājsaimniecības lietotājs un kam ir fiksētas elektroenerģijas cenas līgums), Regulators secina, ka minētie Projekta punkti neietver elektroapgādes pārtraukšanas kārtību tiem lietotājiem, kas nav mājsaimniecības lietotāji un kuru līgums paredz mainīgu elektroenerģijas cenu, bet neatbilst dinamiskas cenas līguma definīcijai. Tāpat Regulators secina, ka šāda kārtība nav iekļauta arī citos Projekta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nepieciešams attiecīgi papildināt Projektu, iekļaujot tajā kārtību, kādā pārtrauc elektroenerģijas piegādi lietotājam, kas nav mājsaimniecības lietotājs un kam ir mainīgas elektroenerģijas cenas līgums, kurš neatbilst dinamiskas elektroenerģijas cenas līguma definīcijai.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Varnovska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25-TA-649</w:t>
    </w:r>
    <w:r>
      <w:br/>
    </w:r>
    <w:r w:rsidR="00000000" w:rsidRPr="00000000" w:rsidDel="00000000">
      <w:rPr>
        <w:rtl w:val="0"/>
      </w:rPr>
      <w:t xml:space="preserve">Izdrukāts 10.02.2026. 17.55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25-TA-649</w:t>
    </w:r>
    <w:r>
      <w:br/>
    </w:r>
    <w:r w:rsidR="00000000" w:rsidRPr="00000000" w:rsidDel="00000000">
      <w:rPr>
        <w:rtl w:val="0"/>
      </w:rPr>
      <w:t xml:space="preserve">Izdrukāts 10.02.2026. 17.55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Atzinumi_25-TA-649.docx</dc:title>
</cp:coreProperties>
</file>

<file path=docProps/custom.xml><?xml version="1.0" encoding="utf-8"?>
<Properties xmlns="http://schemas.openxmlformats.org/officeDocument/2006/custom-properties" xmlns:vt="http://schemas.openxmlformats.org/officeDocument/2006/docPropsVTypes"/>
</file>