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24-TA-1110: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22. decembra noteikumos Nr. 760 "Kārtība, kādā kredītinformācijas birojs vai fiziskā persona pieprasa un Valsts ieņēmumu dienests sniedz informāciju par fiziskās personas ienākumiem"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18.09.2024.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iesniedzot iesniegumu papīra formā;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Ministru kabineta noteikumu projekta "Grozījumi Ministru kabineta 2015. gada 22. decembra noteikumos Nr. 760 "Kārtība, kādā kredītinformācijas birojs vai fiziskā persona pieprasa un Valsts ieņēmumu dienests sniedz informāciju par fiziskās personas ienākumiem"" (turpmāk – projekts) 1.4. un 1.5. apakšpunktu, ņemot vērā to, ka personas tiesības pieprasīt sniegt informāciju papīra formā un elektroniski ar drošu elektronisko parakstu izriet no Informācijas atklātības likuma 11. panta pirmās daļas. Savukārt ar Ministru kabineta noteikumiem nevar ierobežot personai ar likumu piešķirtās tiesības.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9.5. informācijas saņemšanas veidu (Valsts ieņēmumu dienesta klientu apkalpošanas centrā vai elektroniski uz oficiālo elektronisko adresi, elektroniskā pasta adresi vai Valsts ieņēmumu dienesta elektroniskās deklarēšanas sistēmā).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projekta 1.6. apakšpunktā ietverto Ministru kabineta 2015. gada 22. decembra noteikumu Nr. 760 "Kārtība, kādā kredītinformācijas birojs vai fiziskā persona pieprasa un Valsts ieņēmumu dienests sniedz informāciju par fiziskās personas ienākumiem" (turpmāk – Noteikumi) 9.5. apakšpunktu, ņemot vērā to, ka Informācijas atklātības likuma 11.</w:t>
            </w:r>
            <w:r w:rsidR="00000000" w:rsidRPr="00000000" w:rsidDel="00000000">
              <w:rPr>
                <w:vertAlign w:val="superscript"/>
                <w:rtl w:val="0"/>
              </w:rPr>
              <w:t xml:space="preserve">2</w:t>
            </w:r>
            <w:r w:rsidR="00000000" w:rsidRPr="00000000" w:rsidDel="00000000">
              <w:rPr>
                <w:rtl w:val="0"/>
              </w:rPr>
              <w:t xml:space="preserve"> panta pirmā daļa paredz, ka pieprasīto informāciju izsniedz mutvārdos, rakstveidā vai, ja tas iespējams, izmantojot elektroniskos saziņas līdzekļus, savukārt minētā panta otrā daļa noteic, ka, izsniedzot pieprasīto informāciju, iestāde pēc iespējas ievēro pieprasītāja norādīto informācijas saņemšanas veidu, it īpaši rūpējoties par personām ar redzes vai dzirdes traucējumiem. Ievērojot minēto, ar Ministru kabineta noteikumiem nevar ierobežot personas likumā paredzētās tiesības saņemt informāciju papīra formā, piemēram, pa pastu.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Informācijas sniegšanas pakalpojumu, kas uzsākts līdz 2024. gada 31. decembrim, kredītinformācijas birojs saņem no 2025. gada 1. janvāra šajos noteikumos noteiktajā apjomā.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projekta 1.11. apakšpunktā ietverto Noteikumu 35. punktu, piemēram, nosakot, ka informācijas sniegšanas pakalpojumu, kura sniegšana uzsākta līdz 2024. gada 31. decembrim, kredītinformācijas birojs saņem Noteikumu 12. punktā, redakcijā, kas stājās spēkā 2025. gada 1. janvārī, paredzētajā apjomā.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aicinām izvērtēt projektā ietvertā regulējuma ietekmi uz noslēgtajiem informācijas sniegšanas pakalpojuma līgumiem, nepieciešamības gadījumā paredzot, ka informācijas sniegšanas pakalpojums sniedzams saskaņā ar noslēgtajiem līgumiem, bet projektā paredzētais regulējums attiecināms uz tiem līgumiem, kas noslēgti pēc projekta spēkā stāšanās.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24-TA-1110</w:t>
    </w:r>
    <w:r>
      <w:br/>
    </w:r>
    <w:r w:rsidR="00000000" w:rsidRPr="00000000" w:rsidDel="00000000">
      <w:rPr>
        <w:rtl w:val="0"/>
      </w:rPr>
      <w:t xml:space="preserve">Izdrukāts 13.09.2024. 11.34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24-TA-1110</w:t>
    </w:r>
    <w:r>
      <w:br/>
    </w:r>
    <w:r w:rsidR="00000000" w:rsidRPr="00000000" w:rsidDel="00000000">
      <w:rPr>
        <w:rtl w:val="0"/>
      </w:rPr>
      <w:t xml:space="preserve">Izdrukāts 13.09.2024. 11.34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Atzinumi_24-TA-1110.docx</dc:title>
</cp:coreProperties>
</file>

<file path=docProps/custom.xml><?xml version="1.0" encoding="utf-8"?>
<Properties xmlns="http://schemas.openxmlformats.org/officeDocument/2006/custom-properties" xmlns:vt="http://schemas.openxmlformats.org/officeDocument/2006/docPropsVTypes"/>
</file>