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grozīt noteikumu 33.1.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Kohēzijas politikas Eiropas Savienības fondu investīciju aktualitātēm līdz 2022. gada 1. februārim (pusgada ziņojums)" (22-TA-417) 9. punkts nosaka, ka: “Nozaru ministrijas un Valsts kanceleja, izstrādājot Atveseļošanas fonda plāna Ministru kabineta noteikumus vai informatīvo ziņojumu par reformu vai investīciju ieviešanu (un nepieciešamības gadījumā konsultējoties ar Valsts ieņēmumu dienestu), attiecībā uz pievienotās vērtības nodokļa (turpmāk – PVN) finansēšanu,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valsts budžeta iestādes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biedrības un nodibinājumi (NVO) veic valsts deleģētu funkciju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pašvaldības, t.sk. pašvaldību kapitālsabiedrības finansējumu projekta ieviešanai, t.sk. PVN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komersanti PVN sedz no saviem privātajiem finanšu līdzekļiem vai cita piesaistīta finansējuma, kas nav Atveseļošanas fonda finansējums”, kas attiecīgi nozīmē, ka gan EDIC koordinatori (biedrība “Latvijas Informācijas tehnoloģiju klasteris” un biedrība “Latvijas Digitālais akselerators”), gan arī EDIC inovāciju kopas partneriem (atvasinātas publiskās personas, augstskolas un zinātniskās institūcijas, plānošanas reģioni, biedrības un nodibinājumi) ir deleģētas valsts funkcijas Eiropas Digitālās inovācijas centru īstenošanai, ir tiesīgi pieprasīt PVN ANM projektu īstenošanai no 80. programmas, saskaņā ar 2018. gada 17. jūlija MK noteikumiem Nr.421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Papildināt ar 36.13.</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paplašināt automātisko digitālās attīstības ceļa karšu izsniegšanu, neaprobežojoties tikai ar LIAA grantiem mikro un mazajiem komersantiem, vienlaikus jebkurām automātiskajām ceļa kartēm, tāpat kā testiem, paredzot, ka sniegtais atbalsts nav uzskatāms par komercdarbības atbalstu. Papildus, ņemot vērā plānotos sasniedzamos rādītājus 2.3.1.2.i. investīcijā “Uzņēmumu digitālo prasmju attīstība”, uzskatām, ka tikai ar automātiski izsniegtām ceļa kartēm spēs nodrošināt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w:t>
            </w:r>
            <w:r w:rsidR="00000000" w:rsidRPr="00000000" w:rsidDel="00000000">
              <w:rPr>
                <w:vertAlign w:val="superscript"/>
                <w:rtl w:val="0"/>
              </w:rPr>
              <w:t xml:space="preserve">1</w:t>
            </w:r>
            <w:r w:rsidR="00000000" w:rsidRPr="00000000" w:rsidDel="00000000">
              <w:rPr>
                <w:rtl w:val="0"/>
              </w:rPr>
              <w:t xml:space="preserve"> sniegt gala labuma guvējam automātisku digitālās attīstības ceļa karti, un sniegtais atbalsts nav uzskatāms par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Izteikt 36.17.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tekstā vienoties par vienotu terminoloģiju, kas attiecas uz Gala labuma guvēju atbalsta pieteikumiem EDIC pakalpojumu saņemšanai. Vēršam uzmanību, ka GLG EDIC iesniedz </w:t>
            </w:r>
            <w:r w:rsidR="00000000" w:rsidRPr="00000000" w:rsidDel="00000000">
              <w:rPr>
                <w:b w:val="1"/>
                <w:rtl w:val="0"/>
              </w:rPr>
              <w:t xml:space="preserve">atbalsta un pakalpojumu pieteikumu</w:t>
            </w:r>
            <w:r w:rsidR="00000000" w:rsidRPr="00000000" w:rsidDel="00000000">
              <w:rPr>
                <w:rtl w:val="0"/>
              </w:rPr>
              <w:t xml:space="preserve"> nevis projekta pieteikumu/iesniegumu vai investīciju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Papildināt ar 36.</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tekstā vienoties par vienotu terminoloģiju, kas attiecas uz Gala labuma guvēju atbalsta pieteikumiem EDIC pakalpojumu saņemšanai. Vēršam uzmanību, ka GLG EDIC iesniedz </w:t>
            </w:r>
            <w:r w:rsidR="00000000" w:rsidRPr="00000000" w:rsidDel="00000000">
              <w:rPr>
                <w:b w:val="1"/>
                <w:rtl w:val="0"/>
              </w:rPr>
              <w:t xml:space="preserve">atbalsta un pakalpojumu</w:t>
            </w:r>
            <w:r w:rsidR="00000000" w:rsidRPr="00000000" w:rsidDel="00000000">
              <w:rPr>
                <w:rtl w:val="0"/>
              </w:rPr>
              <w:t xml:space="preserve"> pieteikumu nevis projekta pieteikumu/iesniegumu vai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Izteikt 61.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termiņu, ka nosacījumus pārbauda uz atbalsta piešķiršanas brīdi nevis uz iesniegšanas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Izteikt 61.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tekstā vienoties par vienotu terminoloģiju, kas attiecas uz Gala labuma guvēju atbalsta pieteikumiem EDIC pakalpojumu saņemšanai. Vēršam uzmanību, ka GLG EDIC iesniedz </w:t>
            </w:r>
            <w:r w:rsidR="00000000" w:rsidRPr="00000000" w:rsidDel="00000000">
              <w:rPr>
                <w:b w:val="1"/>
                <w:rtl w:val="0"/>
              </w:rPr>
              <w:t xml:space="preserve">atbalsta un pakalpojumu pieteikumu</w:t>
            </w:r>
            <w:r w:rsidR="00000000" w:rsidRPr="00000000" w:rsidDel="00000000">
              <w:rPr>
                <w:rtl w:val="0"/>
              </w:rPr>
              <w:t xml:space="preserve"> nevis projekta pieteikumu vai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25.05.2023.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25.05.2023.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