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Nekustamā īpašuma valsts kadastra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apraksts par no likuma "Par nodokļiem un nodevām" izrietošo pārmaksāto nodokļu summu atmaksāšanu. Taču vēršam uzmanību, ka likums "Par nodokļiem un nodevām" reglamentē arī nepareizi piedzīto maksājumu summu atmaksu (16.panta pirmās daļas 8.punkts, 28.panta pirmā daļa), kas, mūsuprāt, drīzāk būtu attiecināms uz nekorektu nekustamā īpašuma nodokļa aprēķinu (saistībā ar kadastrālās vērtības izmaiņām) un tā atmaksas pieprasīšanu. Lūdzam anotācijā atspoguļot šo regulējumu, kā arī pārskatīt, vai nav nepieciešams veikt precizējumus likumprojekta iekļautajā likuma 93.</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15.02.2023.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15.02.2023.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Atzinumi_21-TA-353.docx</dc:title>
</cp:coreProperties>
</file>

<file path=docProps/custom.xml><?xml version="1.0" encoding="utf-8"?>
<Properties xmlns="http://schemas.openxmlformats.org/officeDocument/2006/custom-properties" xmlns:vt="http://schemas.openxmlformats.org/officeDocument/2006/docPropsVTypes"/>
</file>