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lielāka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turklāt ar sarežģītu tehnisko piekļuvi. Plānoto izmaiņu rezultātā uzraudzības prasības kļūs vienotas un centralizētas, bet piekļuve datiem, kas nepieciešami šo prasību izpildei, saglabāsies nevienlīdzīga, tādējādi radot nevienlīdzīgus apstākļus un nekonsekvenci. Līdz ar to AS “mogo” ieskatā likumprojekts pašreizējā redakcijā ir nepilnīgs, jo tas vērsts tikai un uzraudzības institūcijas maiņu, taču neatrisina galveno problēmu – vienlīdzīgu un efektīvu NILLTPFN prasību izpildes instrumentu nodrošināšanu visiem tirgus dalībniekiem, kuriem ir līdzvērtīg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6.05.2026.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6.05.2026.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