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7.1.1. reformas "Enerģijas sektora transformācija" 7.1.1.1.i. investīcijas “Elektroenerģijas pārvades sistēmas sinhronizācija”, 7.1.1.2.i. investīcijas “Elektroenerģijas pārvades un sadales tīklu modernizācija” un 7.1.1.3.i. investīcijas “Biometāna īpatsvara galapatēriņā palielināšana”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mērķis: līdz 2026. gada 30. jūnijam – palielināta elektroenerģijas sadales sistēmas jauda par 70 megavatiem, uzbūvējot jaunas 110 kilovoltu apakšstacijas un/vai palielinot esošu 110 kilovoltu apakšstaciju jaudu;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(tostarp 4.2.3. apakšpunktā) simbolu un vārdus "un/vai” aizstāt ar saikli "un" vai saikli "vai", jo no noteikumu projekta neizriet tas, vai ar simbolu un vārdiem "un/vai" tiek saprasts saiklis "un" vai saiklis "vai".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investīciju īstenošanu ir atbildīga Klimata un enerģētikas ministrija (turpmāk - nozares ministrija), kas ir nozares ministrija normatīvo aktu Atveseļošanas fonda plāna īstenošanas un uzraudzības jomā izpratnē un pilda minētajos normatīvajos aktos noteiktos nozares ministrijas pienākumus,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 punktu, nepārrakstot (nedublējot) nozares ministrijas pienākumus, kas izriet no citiem normatīvajiem aktiem.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investīciju īstenošanu ir atbildīga Klimata un enerģētikas ministrija (turpmāk - nozares ministrija), kam papildus normatīvajos aktos Atveseļošanas fonda plāna īstenošanas un uzraudzības jomā noteiktajam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nodrošina investīciju rādītāju progresa datu savlaicīgu ievadi Kohēzijas politikas fondu vadības informācijas sistēmā (turpmāk – vadības informācijas sistēma) atbilstoši normatīvajiem aktiem, kas nosaka Atveseļošanas fonda plāna īstenošanas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7.4. un 10.7. apakšpunktā svītrot vārdu "savlaicīgu" vai norādīt konkrētus termiņus datu ievaidei, tādējādi nodrošinot attiecīgo normu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Atveseļošanas fonda nozares ministrijas lēmumus par projektu iesniegumu apstiprināšanu vai noraidīšanu paraksta Klimata un enerģētikas ministrijas valsts sekretāra vietnieks klimata politikas jautājumos. Atveseļošanas fonda nozares ministrijas lēmumus projektu iesniedzēji var apstrīdēt, iesniedzot argumentētu iesniegumu augstākstāvošai amatpersonai – Klimata un enerģētikas ministrijas valsts sekretāram. Klimata un enerģētikas ministrijas valsts sekretāra lēmumus var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svītrot noteikumu projekta 9. punkta otro un trešo teikumu, nedublējot tajā Klimata un enerģētikas ministrijas nolikuma un Administratīvā procesa likuma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aptur Atveseļošanās fonda maksājumus un lemj par Atveseļošanās fonda finansējuma atgūšanu gadījumos, ko paredz līgums par investīciju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10.9. apakšpunktā skaidrot, kādos gadījumos tiek apturēti Atveseļošanās fonda maksājumi.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Akciju sabiedrība "Sadales tīkls" kā finansējuma saņēmējs projektu var īstenot kopā ar sadarbības partneriem – akciju sabiedrību "Latvenergo" vai akciju sabiedrību "Augstsprieguma tīkls", ja tas nepieciešams projekta mērķu sasniegšanai. Atbildību par projekta īstenošanu un mērķa sasniegšanu uzņemas finansējuma saņēmējs. Šo noteikumu izpratnē sadarbības partneris ir komersants, ar kuru noslēgts sadarbības līgums un kurš piedalās projekta īstenošanai nepieciešamo aktivitāšu ieviešanā, rezultātu sasniegšanā un to uzturēšanā. Sadarbības līgumā tiek noteiktas sadarbības partnera saistības, pienākumi un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 punkta pēdējo teikumu kā noteikumu projekta 35. 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iesnieguma iesniegšanas, vērtēšanas, apstiprināšanas un līguma par investīcijas projekta īstenošanu noslēgšanas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 punkta ievaddaļu, ņemot vērā, ka Ministru kabineta noteikumos neraksta punktu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nozares ministrija 10 darbdienu laikā pēc projekta iesnieguma saņemšanas izveido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minēto projektu iesniegumu vērtēšanas komisiju un organizē iesniegtā projekta iesnieguma vērtēšanu atbilstoši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minētajiem kritērijiem un, ja nepieciešams, lūdz projekta iesniedzēju veikt papildinājumus un precizējumus iesniegtajā projekta iesniegumā, nosakot termiņu precizējumu un papildinājumu veikšanai, kas nav ilgāks par 20 darbdienām. Nozares ministrijai ir tiesības projekta iesniedzējam pieprasīt informāciju un dokumentus, kas nepieciešami projekta iesnieguma vērtēšanai vai projekta iesniegumā plānoto darbību pamatošanai un attiecināmo izmaksu atbilstības vērtēšanai. Ja projekta iesniedzējs nepieciešamos papildinājumus un precizējumus neiesniedz nozares ministrijas noteiktajā termiņā, tad projekta iesniegums tiek noraidīts. Nozares ministrija var uzaicināt projekta iesniedzēju atkārtoti iesniegt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13.3. apakšpunktu papildināt ar normu, no kuras izriet, ka projekta iesniegumu noraida arī gadījumā, ja projekta iesniegums neatbilst kādam no šo noteikumu 14. punktā minētajiem kritērijiem. Alternatīvi lūdzam noteikumu projekta 13.4. apakšpunktā skaidri norādīt, kādos gadījumos projekta iesniegumu apstiprina.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projekta iesniedzējs atbilst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14.1. apakšpunktā ietverto kritēriju, jo šo noteikumu 8. punkts tiešā veidā neparedz prasības projekta iesniedzējam. Papildus lūdzam noteikumu projekta anotācijā sniegt pamatotu skaidrojumu, kādēļ attiecīgās investīcijas tiek īstenotas ierobežotā projekta iesniegumu atlasē, paredzot konkrētus komersantus, kuri var iesniegt projektu iesniegumus, tostarp lūdzam skaidrot šāda risinājuma atbilstību tiesiskās vienlīdzības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 projekta iesnieguma veidlapā iekļautās kopējās izmaksas, plānotās atbalstāmās darbības un izmaksu pozīcijas atbilst šajos noteikumos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14.12. apakšpunktā svītrot vārdus "plānotās atbalstāmās darbības", jo atbalstāmās darbības jau nosaka noteikumu projekts, savukārt projekta iesnieguma veidlapā norādāmas projekta darbības, kurām prasības izvirzītas šo noteikumu 14.16.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14.14. projekta mērķis atbilst šajos noteikumos minētajam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14.14. apakšpunktā precīzāk noteikt, kādam šajos noteikumos minētajam mērķim projektam ir jāatbilst. Līdzīgi lūdzam 14.15. apakšpunktā precīzāk noteikt, kādiem šajos noteikumos minētajiem rezultātiem un rādītājiem jāatbilst.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Investīcijas attiecināmās izmaksas, kas ir saistītas ar projekta vadību, administrēšanu un personāla izmaksām un ko projekta iesniedzējs var iekļaut projekta iesniegumā: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punkta ievaddaļu, precīzi norādot investīciju attiecināmo izmaksu pozīcijas. Norādām, ka arī projekta vadības (nav skaidrs, vai administrēšanas izmaksas jau neaptver projekta vadības un personāla izmaksas) un personāla izmaksas veido atsevišķu attiecināmo izmaksu pozīcijas, uz kurām norādīts 21. punkta tālākos apakšpunktos, savukārt norāde uz iekļaušanu projekta iesniegumā ir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Investīciju ietvaros attiecināmās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Izmaksu attiecināmības sākuma datums ir 2022. gada 1. februāris. Netiek atbalstītas darbības, kas jau ir pabeigtas līdz 2023. gada 8.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atbilstoši noteikumu projekta 27. punktam attiecināt finansēšanai no Atveseļošanas un noturības mehānisma pieejamā finansējuma izmaksas, kas radušās par projekta iesnieguma apstiprināšanas brīdī pabeigtām projekta darbībām. Nepieciešamības gadījumā lūdzam precizēt noteikumu projekta 27.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Uz projektu var attiecināt izmaksas par iekārtām un materiāliem, kas iegādāti pēc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minētā izmaksu attiecināmības sākuma datuma atbilstoši normatīvajiem aktiem publisko iepirkumu jomā un ir piegādāti finansējuma saņēmējam. Ja aktivitāšu īstenošanai ir iesaistīts sadarbības partneris, uz projektu ir attiecināmas izmaksas par aktivitātēm, par kurām projekta iesniedzējs ar sadarbības partneri ir rakstiski vienojušies par īstenojamām aktivitātēm kā projekta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punkta pirmo teikumu ir nepieciešams izvērtēt un precizēt vai svītrot. Norādām, ka tas, ka var attiecināt izmaksas pēc noteiktā termiņa ir nepārprotami skaidrs no noteikumu projekta 27. punktā ietvertā regulējuma, savukārt pienākums ievērot normatīvos aktus publisko iepirkumu jomā izriet jau no noteikumu projekta 32.5. apakšpunkta. Līdzīgi arī noteikumu projekta 28. punkta otro teikumu nepieciešams precizēt vai svītrot, jo minētais regulējums dublē noteikumu projekta normas par sadarbības partnera piesaistes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nodrošināt korupcijas, krāpšanas, interešu konflikta neesamību, kā arī parakstīt apliecinājumu par interešu konflikta neesību saskaņā ar regulas Nr. 2018/1046 61. pantu un normatīvajiem aktiem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32.3. apakšpunktā nedublēt prasības, kuras izriet no normatīvajiem aktiem publisko iepirkumu jomā. Līdzīgi lūdzam izvērtēt un noteikumu projekta 32.4. apakšpunktā nedublēt prasības, kuras izriet no normatīvajiem aktiem par ietekmes uz vidi novērtējumu, vai alternatīvi lūdzam skaidrot noteikumu projekta anotācijā (ja attiecīgā prasība izriet no Eiropas Savienības tiesību aktiem - anotācijas 5. sadaļā) pamatojumu minēto prasību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nodrošināt korupcijas, krāpšanas, interešu konflikta neesamību, kā arī parakstīt apliecinājumu par interešu konflikta neesību saskaņā ar regulas Nr. 2018/1046 61.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V </w:t>
            </w:r>
            <w:r w:rsidR="00000000" w:rsidRPr="00000000" w:rsidDel="00000000">
              <w:rPr>
                <w:rtl w:val="0"/>
              </w:rPr>
              <w:t xml:space="preserve">nodaļā</w:t>
            </w:r>
            <w:r w:rsidR="00000000" w:rsidRPr="00000000" w:rsidDel="00000000">
              <w:rPr>
                <w:rtl w:val="0"/>
              </w:rPr>
              <w:t xml:space="preserve"> minētais finansējuma saņēmējs nodrošina, ka biometāna ievades punktā ievadāms biometāns, kas atbilst normatīvajos aktos noteiktajiem ilgtspējas un siltumnīcefekta gāzu emisiju ietaupījuma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34. punktā norādīt konkrētu normatīvo aktu jomu, kas paredz atbilstošus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 sadarbības līgumā iekļauj informāciju atbilstoši normatīvajiem aktiem, kas nosaka Atveseļošanas fonda plāna īstenošanas un uzraudzības kārtību un papildus iekļauj vismaz šādas ziņas par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normatīvie akti, kas nosaka Atveseļošanas fonda plāna īstenošanas un uzraudzības kārtību (Ministru kabineta 2021. gada 7. septemba noteikumi Nr. 621 "Eiropas Savienības Atveseļošanas un noturības mehānisma plāna īstenošanas un uzraudzības kārtība"), nenosaka sadarbības līgumā iekļaujamās informācijas saturu, lūdzam attiecīgo norādi noteikumu projekta 35. punktā svītrot vai noteikumu projekta anotācijā sniegt pamatotu skaidrojumu, kura konkrēti tiesību norma minēto regulējumu 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5.4. sadaļas 1. tabulas A,B,C un D ailes.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investīciju atbalstāmās darbības un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 apakšpunktu papildināt ar norādi uz izmaksu attiecināmības nosacījumiem, jo noteikumu projektā nav ietvertas tikai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Atveseļošanas fonda nozares ministrijas lēmumus par projektu iesniegumu apstiprināšanu vai noraidīšanu paraksta Klimata un enerģētikas ministrijas valsts sekretāra vietnieks klimata politikas jautājumos. Atveseļošanas fonda nozares ministrijas lēmumus projektu iesniedzēji var apstrīdēt, iesniedzot argumentētu iesniegumu augstākstāvošai amatpersonai – Klimata un enerģētikas ministrijas valsts sekretāram. Klimata un enerģētikas ministrijas valsts sekretāra lēmumus var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un tehniski precizēt noteikumu projektu, neatsaucoties uz </w:t>
            </w:r>
            <w:r w:rsidR="00000000" w:rsidRPr="00000000" w:rsidDel="00000000">
              <w:rPr>
                <w:u w:val="single"/>
                <w:rtl w:val="0"/>
              </w:rPr>
              <w:t xml:space="preserve">Atveseļošanas fonda</w:t>
            </w:r>
            <w:r w:rsidR="00000000" w:rsidRPr="00000000" w:rsidDel="00000000">
              <w:rPr>
                <w:rtl w:val="0"/>
              </w:rPr>
              <w:t xml:space="preserve"> nozares ministriju, ņemot vērā, ka nozares ministrijas saīsinājums jau ir iepriekš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Nozares ministrijas lēmumu par projektu iesniegumu apstiprināšanu vai noraidīšanu paraksta Klimata un enerģētikas ministrijas valsts sekretāra vietnieks klimata politikas jautājumos. Nozares ministrijas lēmumus projektu iesniedzēji var apstrīdēt, iesniedzot argumentētu iesniegumu Klimata un enerģētikas ministrijas valsts sekretāram. Klimata un enerģētikas ministrijas valsts sekretāra lēmumus var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nodrošina investīcijas rādītāju progresa datu savlaicīgu ievadi vadības informācijas sistēmā atbilstoši Atveseļošanas fonda īstenošanas un uzraudzības kārtības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korekti atsaucoties uz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nodrošina investīcijas rādītāju progresa datu savlaicīgu ievadi vadības informācijas sistēmā atbilstoši normatīvajiem aktiem, kas nosaka Atveseļošanas fonda plāna īstenošanas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Akciju sabiedrība "Sadales tīkls" kā finansējuma saņēmējs projektu var īstenot kopā ar sadarbības partneriem – akciju sabiedrību "Latvenergo" vai akciju sabiedrību "Augstsprieguma tīkls", ja tas nepieciešams projekta mērķu sasniegšanai. Atbildību par projekta īstenošanu un mērķa sasniegšanu uzņemas finansējuma saņēmējs. Šo noteikumu izpratnē sadarbības partneris ir komersants, ar kuru noslēgts sadarbības līgums un kurš piedalās projekta īstenošanai nepieciešamo aktivitāšu ieviešanā, rezultātu sasniegšanā un to uzturēšanā. Sadarbības līgumā tiek noteiktas sadarbības partnera saistības, pienākumi un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saņēmējs atbildību uzņemas, noslēdzot līgumu par projekta īstenošanu, bet, piesaistot sadarbības partneri, atbildību saglabā, lūdzam noteikumu projekta 12. punktā vārdu "uzņemas" aizstāt ar vārdu "saglabā".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nozares ministrija 10 darbdienu laikā pēc šo noteikumu spēkā stāšanās dienas nosūta projektu iesniedzējiem uzaicinājumu iesniegt projektus, norādot aizpildāmos projekta iesnieguma datu laukus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nozares ministrija 10 darbdienu laikā pēc šo noteikumu spēkā stāšanās dienas nosūta projektu iesniedzējiem uzaicinājumu iesniegt projektu iesniegumus, norādot aizpildāmos projekta iesnieguma datu laukus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projekta iesnieguma veidlapa ir iesniegta vadības informācijas sistēmā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14.5. apakšpunktā ietverto regulējumu izdalīt atsevišķā noteikumu projekta punktā, paredzot, ka projekta iesniegumu nevērtē ja projekta iesniegums iesniegts pēc projektu iesniegumu iesniegšanas termiņa beigām. Nozares ministrija par to informē projekta iesniedzēju. Norādām, ka nav saprotama lietderība izvērtēt arī pārējo kritēriju izpildi situācijās, ja nav ievērots projekta iesnieguma iesniegšanas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Projekti tiek īstenoti un to ietvaros noteiktie atskaites punkti un mērķi tiek sasniegti ne vēlāk kā līdz 2026. gada 30. jūnijam. Finansējuma saņēmējs noslēguma maksājuma pieprasījumu un atskaites punktu un mērķu sasniegšanu pamatojošos dokumentus iesniedz ne vēlāk kā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vienveidot noteikumu projektā lietoto terminoloģiju. Vēršam uzmanību, ka, piemēram, noteikumu projekta 26. punktā norādīts uz mērķu un rādītāju sasniegšanu, bet 29. punktā - uz atskaites punktu un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Projekti tiek īstenoti un to ietvaros noteiktie atskaites punkti un mērķi tiek sasniegti ne vēlāk kā līdz 2026. gada 30. jūnijam. Finansējuma saņēmējs noslēguma maksājuma pieprasījumu un atskaites punktu un mērķu sasniegšanu pamatojošos dokumentus iesniedz ne vēlāk kā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29. punktu, nodrošinot, ka pēc projektu īstenošanas tiek paredzēts papildu termiņš pamatojošo dokumentu iesniegšanai (šobrīd šis datums sakrīt - 2026. gada 30. jūnijs). Alternatīvi lūdzam noteikumu projekta anotācijā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Ieguldījumus infrastruktūrā veic, ja tā ir finansējuma saņēmēja vai sadarbības partnera īpašumā un tiek nodrošināts šo noteikumu </w:t>
            </w:r>
            <w:r w:rsidR="00000000" w:rsidRPr="00000000" w:rsidDel="00000000">
              <w:rPr>
                <w:rtl w:val="0"/>
              </w:rPr>
              <w:t xml:space="preserve">32.9. </w:t>
            </w:r>
            <w:r w:rsidR="00000000" w:rsidRPr="00000000" w:rsidDel="00000000">
              <w:rPr>
                <w:rtl w:val="0"/>
              </w:rPr>
              <w:t xml:space="preserve">apakšpunktā</w:t>
            </w:r>
            <w:r w:rsidR="00000000" w:rsidRPr="00000000" w:rsidDel="00000000">
              <w:rPr>
                <w:rtl w:val="0"/>
              </w:rPr>
              <w:t xml:space="preserve"> minētais nosacījums. Ieguldījumus informācijas tehnoloģiju infrastruktūrā veic, ja tiek nodrošināts šo noteikumu </w:t>
            </w:r>
            <w:r w:rsidR="00000000" w:rsidRPr="00000000" w:rsidDel="00000000">
              <w:rPr>
                <w:rtl w:val="0"/>
              </w:rPr>
              <w:t xml:space="preserve">32.10. </w:t>
            </w:r>
            <w:r w:rsidR="00000000" w:rsidRPr="00000000" w:rsidDel="00000000">
              <w:rPr>
                <w:rtl w:val="0"/>
              </w:rPr>
              <w:t xml:space="preserve">apakšpunktā</w:t>
            </w:r>
            <w:r w:rsidR="00000000" w:rsidRPr="00000000" w:rsidDel="00000000">
              <w:rPr>
                <w:rtl w:val="0"/>
              </w:rPr>
              <w:t xml:space="preserve"> minētais nosacījums.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lietderību noteikumu projekta 30. punktā izdarīt atsauces uz 32.9. un 32.10. apakšpunktiem, ņemot vērā, ka minēto apakšpunktu nosacījumi jāievēro neatkarīgi no tā, vai 30. punktā uz to tiek uzsvērts. Nepieciešamības gadījumā lūdzam minētās atsauces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nodrošināt projektā plānoto darbu sasaisti, sinerģiju un demarkāciju ar citu atbalsta instrumentu investīcijām. Ja ir sasaiste ar citu atbalsta instrumentu investīcijām, finansējuma saņēmējs nodrošina, ka neiestājas dubultā finansējuma risks;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atrunāto saīsinājumu "investīcijas" konsekventi ievērot vai attiecīgu saīsinājumu neatrunāt, ja minētais vārds, piemēram, 32.2. apakšpunktā tiek lietots atšķirīgā nozīmē.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nodrošināt ka projekta ietvaros izveidotā infrastruktūra paliek to īpašumā un tiek uzturēta piecus gadus pēc projekta noslēguma maksājuma. Finansējuma saņēmējs un sadarbības partneris šajā periodā var veikt infrastruktūras pārvietošanu vai pārbūvi, ja tā nepieciešama elektroenerģijas sadales sistēmas, elektroenerģijas pārvades sistēmas vai dabasgāzes pārvades sistēmas attīstības vai uzturēšanas vajadzībām vai bojājumu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32.9. un 32.10. apakšpunktu, nodrošinot nepārprotamu atskaites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nodrošināt ka projekta ietvaros izveidotā infrastruktūra paliek to īpašumā un tiek uzturēta piecus gadus pēc projekta noslēguma maksājuma saņemšanas. Finansējuma saņēmējs un sadarbības partneris šajā periodā var veikt infrastruktūras pārvietošanu vai pārbūvi, ja tā nepieciešama elektroenerģijas sadales sistēmas, elektroenerģijas pārvades sistēmas vai dabasgāzes pārvades sistēmas attīstības vai uzturēšanas vajadzībām vai bojājumu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nodrošināt ar projekta īstenošanu saistītās dokumentācijas uzglabāšanu un informācijas pieejamību visā projekta īstenošanas laikā un piecus gadus pēc dalībvalstij paredzētā noslēguma maksājuma, bet vismaz līdz 2031.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32.7. un 32.11. apakšpunktā ietvertais regulējums (par informācijas pieejamību) pārklājas, lūdzam izvērtēt un minētos punktus apvienot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sadarbības partnera īstenojamās atbalstāmās darbības un to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35. punktā atsaukties uz projekta darbībām, nevis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24-TA-674</w:t>
    </w:r>
    <w:r>
      <w:br/>
    </w:r>
    <w:r w:rsidR="00000000" w:rsidRPr="00000000" w:rsidDel="00000000">
      <w:rPr>
        <w:rtl w:val="0"/>
      </w:rPr>
      <w:t xml:space="preserve">Izdrukāts 10.04.2024.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24-TA-674</w:t>
    </w:r>
    <w:r>
      <w:br/>
    </w:r>
    <w:r w:rsidR="00000000" w:rsidRPr="00000000" w:rsidDel="00000000">
      <w:rPr>
        <w:rtl w:val="0"/>
      </w:rPr>
      <w:t xml:space="preserve">Izdrukāts 10.04.2024.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Atzinumi_24-TA-674.docx</dc:title>
</cp:coreProperties>
</file>

<file path=docProps/custom.xml><?xml version="1.0" encoding="utf-8"?>
<Properties xmlns="http://schemas.openxmlformats.org/officeDocument/2006/custom-properties" xmlns:vt="http://schemas.openxmlformats.org/officeDocument/2006/docPropsVTypes"/>
</file>