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Finansējuma saņēmējs iesniedzot investīcijas projekta iesniegumu nodrošina, ka investīcijas projekta iesniegumā plānotās darbības ir izsekojamas un nošķiramas atbilstoši šo noteikumu </w:t>
            </w:r>
            <w:r w:rsidR="00000000" w:rsidRPr="00000000" w:rsidDel="00000000">
              <w:rPr>
                <w:rtl w:val="0"/>
              </w:rPr>
              <w:t xml:space="preserve">66. </w:t>
            </w:r>
            <w:r w:rsidR="00000000" w:rsidRPr="00000000" w:rsidDel="00000000">
              <w:rPr>
                <w:rtl w:val="0"/>
              </w:rPr>
              <w:t xml:space="preserve">punktā</w:t>
            </w:r>
            <w:r w:rsidR="00000000" w:rsidRPr="00000000" w:rsidDel="00000000">
              <w:rPr>
                <w:rtl w:val="0"/>
              </w:rPr>
              <w:t xml:space="preserve"> minētām pamatdarbības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norādīt, vai iesniegts tiek investīcijas projekts (sk., piemēram, noteikumu projekta 68. punktu) vai investīcijas projekta iesniegums (sk. noteikumu projekta 17.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14.08.2023.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14.08.2023.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