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augstākās izglītības standartu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Katras studiju programmas specifiskos mērķus un uzdevumus, kā arī, ja attiecināms, tās studiju programmu daļas, kuras īsteno kā darba vidē balstītas mācības, sadarbībā ar attiecīgās nozares speciālistiem un darba devējiem augstskola vai koledža nosaka atbilstoši augstskolas vai koledžas stratēģiskajai specializācijai, stratēģiskajiem mērķiem, galvenajiem uzdevumiem un citiem faktoriem.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15. punktā par studiju programmas specifisko mērķu un uzdevumu noteikšanu. Proti, profesionālās doktora studiju programmas mākslās stratēģiskais mērķis un uzdevumi ir iekļauti Ministru kabineta 2018.gada 2.decembra  noteikumos Nr. 617 “Noteikumi par profesionālās augstākās izglītības valsts standartu doktora grāda iegūšanai un kārtību, kādā piešķir profesionālo doktora grādu mākslās” (turpmāk - MK noteikumi). Ņemot vērā, ka šie MK  noteikumi zaudēs spēku, nepieciešams konkretizēt, kurā dokumentā ir jābūt augstskolas noteiktajiem  studiju programmas specifiskajiem mērķiem un uzdevumiem. 15.punktā ir noteikts, ka  studiju programmas specifiskos mērķus un uzdevumu augstskola vai koledža nosaka atbilstoši augstskolas vai koledžas stratēģiskajai specializācijai, stratēģiskajiem mērķiem, galvenajiem uzdevumiem un citiem faktoriem.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profesionālās doktora studiju programmās mākslās 80 procentus no studiju programmas apjoma veido doktora teorētiskā pētījuma un mākslinieciskās jaunrades darba izstrāde, ar mākslinieciskās jaunrades izstrādi saistītās mākslinieciskās prakses, tai skaitā starptautiskas mākslinieciskās prakses, īstenošana un ne mazāk kā 20 procentus no studiju programmas apjoma veido studiju kursu vai moduļu apguve, tai skaitā prakses apguve.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"XI .Noslēguma jautājumi" ir minēts, ka Ministru kabineta 2018.gada 2.decembra  noteikumi Nr. 617 “Noteikumi par profesionālās augstākās izglītības valsts standartu doktora grāda iegūšanai un kārtību, kādā piešķir profesionālo doktora grādu mākslās” (turpmāk - MK noteikumi) zaudē spēku. Sadaļā "VI. Trešā cikla augstākās izglītības programmas obligātais saturs" , salīdzinot ar esošajiem MK noteikumiem,   nav iekļauti visi punkti, kas ir esošajos  MK noteikumos par profesionālās doktora studiju programmas mākslās obligāto saturu,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studiju kursi, kas nodrošina jaunāko sasniegumu padziļinātu apguvi mākslinieciskās darbības jomas teorijā un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-mākslinieciskā, jaunrades un projektēšanas darba studiju kursi;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pētnieciskā darba studiju kursi;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mākslinieciskā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pārbaudījums, kura sastāvdaļa ir doktora teorētiskā pētījuma un mākslinieciskās jaunrades darba izstrādāšana un aizstāvēšana mākslinieciskās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-brīvās izvēles studiju kursi.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anotācijā informāciju par to, kurā dokumentā ir jābūt  detalizētai informācija par  profesionālās doktora studiju programmas mākslās obligāto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25.04.2025. 12.59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25.04.2025. 12.59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Atzinumi_24-TA-2012.docx</dc:title>
</cp:coreProperties>
</file>

<file path=docProps/custom.xml><?xml version="1.0" encoding="utf-8"?>
<Properties xmlns="http://schemas.openxmlformats.org/officeDocument/2006/custom-properties" xmlns:vt="http://schemas.openxmlformats.org/officeDocument/2006/docPropsVTypes"/>
</file>