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23-TA-2866: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6.1.1. specifiskā atbalsta mērķa "Pārejas uz klimatneitralitāti radīto ekonomisko, sociālo un vides seku mazināšana visvairāk skartajos reģionos" 6.1.1.2. pasākuma "Pētniecības attīstība dabas resursu ilgtspējīgai izmantošanai vides un klimata mērķu kontekstā"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30.1.5. nākotnes scenāriju izstrāde par vēsturisko un rekultivēto kūdras ieguves vietu turpmākām izmantošanas iespējām, tai skaitā bioloģiskās daudzveidības saglabāšanu tajās, no jauna radīto darba vietu potenciāla novērtējums, dažādu kultūru audzēšanas iespēju izpēte, radīto produktu eksporta potenciāla novērtējums, ilgtspējas vadlīniju izstrāde un sociālekonomiskais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šī uzdevuma ietvaros arī ir nepieciešams veikt sociālekonomisko izvērtējumu, ja tāds ir jau ir iekļauts 30.1.3.uzdevumā.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21.08.2024.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21.08.2024.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Atzinumi_23-TA-2866.docx</dc:title>
</cp:coreProperties>
</file>

<file path=docProps/custom.xml><?xml version="1.0" encoding="utf-8"?>
<Properties xmlns="http://schemas.openxmlformats.org/officeDocument/2006/custom-properties" xmlns:vt="http://schemas.openxmlformats.org/officeDocument/2006/docPropsVTypes"/>
</file>