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21-TA-933: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Biedrību un nodibinājumu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statūtsabiedrību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Biedrību un nodibinājumu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uzglabāt informāciju un noteikt visām biedrībām obligāto pienākumu norādīt savu darbības jomu ir absolūti lieka birokrātiskā prasībā. Tā vietā ir iespējams ieviest pienākumu norādīt darbības jomu tikai, ja tā pārklājās ar AML subjektu definētām darbības sfērām, jo tad šī prasība apgrūtinās nesalīdzināmi mazāku subjektu skaitu un skaidrāk spēs identificēt subjektus, kuru saimnieciskai darbībai jāpievērš lielāka uzmanība.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Melnis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22.08.2023.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22.08.2023.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Atzinumi_21-TA-933.docx</dc:title>
</cp:coreProperties>
</file>

<file path=docProps/custom.xml><?xml version="1.0" encoding="utf-8"?>
<Properties xmlns="http://schemas.openxmlformats.org/officeDocument/2006/custom-properties" xmlns:vt="http://schemas.openxmlformats.org/officeDocument/2006/docPropsVTypes"/>
</file>