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Ugunsdrošības, ugunsdzēsības un glābšanas darbu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"Ugunsdrošības, ugunsdzēsības un glābšanas darbu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atbalstāma tādu likumprojektu pieņemšana, kuru normu īstenošana var netikt nodrošināta nepietiekamā finansējuma dēļ. Līdz ar to likumprojekts var tikt virzīts izskatīšanai Ministru kabinetā, ja tam nav negatīvas ietekmes uz valsts budžetu un tajā paredzētais tiks nodrošināts institūcijām piešķirto līdzekļu ietvaros, vai arī likumprojekta tālāka virzība ir atliekama līdz brīdim, kad Ministru kabinetā tiks pieņemti lēmumi par pašvaldību ugunsdzēsības organizāciju un citu ugunsdzēsības un glābšanas organizāciju finansēšanai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likumprojekta 27. panta pirmo daļu, svītrojot no tā daļu “un ja tiek piešķirta valsts budžeta mērķdotācija”, ņemot vērā, ka likumprojekta normām ir jābūt konkrētām, tiešām, saprotamām un bez interpretācijas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02.08.2024.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02.08.2024.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Atzinumi_23-TA-1429.docx</dc:title>
</cp:coreProperties>
</file>

<file path=docProps/custom.xml><?xml version="1.0" encoding="utf-8"?>
<Properties xmlns="http://schemas.openxmlformats.org/officeDocument/2006/custom-properties" xmlns:vt="http://schemas.openxmlformats.org/officeDocument/2006/docPropsVTypes"/>
</file>