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26-TA-698: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20. jūnija noteikumos Nr. 325 "Eiropas Savienības Atveseļošanas un noturības mehānisma plāna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“Pašreizējā situācija, problēmas un risinājumi” (turpmāk – 1.3. sadaļa) apakšsadaļā "Problēmas apraksts" norādīts, </w:t>
            </w:r>
            <w:r w:rsidR="00000000" w:rsidRPr="00000000" w:rsidDel="00000000">
              <w:rPr>
                <w:i w:val="1"/>
                <w:rtl w:val="0"/>
              </w:rPr>
              <w:t xml:space="preserve">ka SIA “OlainMed” saistības un projektu “Medicīnas un informācijas tehnoloģiju iegāde veselības aprūpes pakalpojumu sniegšanas infrastruktūras stiprināšanai” pārņem akciju sabiedrība "Veselības centru apvienība".Pašvaldības aģentūras “Iecavas veselības centrs” projektu pārņem SIA “Bauskas slimnīca” ar projektu “Iekārtu un aprīkojuma iegāde SIA “Bauskas slimnīca” Iecavas filiālē”, līdz ar to SIA “Bauskas slimnīca” īsteno divus Atveseļošanas fonda projektus: “SIA “Bauskas slimnīca” sekundāro ambulatoro pakalpojumu uzlabošana” un “Iekārtu un aprīkojuma iegāde SIA “Bauskas slimnīca” Iecavas filiālē”.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vai ar finansējuma saņēmēju maiņu konkrētajos projektos nav notikušas būtiskas izmaiņas, kas ietekmē darbības veidu, mērķus vai īstenošanas nosacījumus, tādējādi traucējot tās sākotnējo mērķu sasniegšanu, kā arī skaidrot, vai aktuālie finansējuma saņēmēji tikuši izvēlēti atbilstoši tiem pašiem kritērijiem, pēc kuriem tika izvēlēti sākotnēji plānotie finansējuma saņēmēji.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Investīcijas ietvaros kopējais attiecināmais finansējums ir 10 432 859 </w:t>
            </w:r>
            <w:r w:rsidR="00000000" w:rsidRPr="00000000" w:rsidDel="00000000">
              <w:rPr>
                <w:i w:val="1"/>
                <w:rtl w:val="0"/>
              </w:rPr>
              <w:t xml:space="preserve">euro</w:t>
            </w:r>
            <w:r w:rsidR="00000000" w:rsidRPr="00000000" w:rsidDel="00000000">
              <w:rPr>
                <w:rtl w:val="0"/>
              </w:rPr>
              <w:t xml:space="preserve">, tai skaitā Atveseļošanas fonda finansējums ir 7 681 420 </w:t>
            </w:r>
            <w:r w:rsidR="00000000" w:rsidRPr="00000000" w:rsidDel="00000000">
              <w:rPr>
                <w:i w:val="1"/>
                <w:rtl w:val="0"/>
              </w:rPr>
              <w:t xml:space="preserve">euro</w:t>
            </w:r>
            <w:r w:rsidR="00000000" w:rsidRPr="00000000" w:rsidDel="00000000">
              <w:rPr>
                <w:rtl w:val="0"/>
              </w:rPr>
              <w:t xml:space="preserve"> un nacionālais finansējums (valsts budžets un privātais finansējums) vismaz 2 751 439 </w:t>
            </w:r>
            <w:r w:rsidR="00000000" w:rsidRPr="00000000" w:rsidDel="00000000">
              <w:rPr>
                <w:i w:val="1"/>
                <w:rtl w:val="0"/>
              </w:rPr>
              <w:t xml:space="preserve">euro</w:t>
            </w:r>
            <w:r w:rsidR="00000000" w:rsidRPr="00000000" w:rsidDel="00000000">
              <w:rPr>
                <w:rtl w:val="0"/>
              </w:rPr>
              <w:t xml:space="preserve">, tai skaitā nacionālais valsts budžeta finansējums piešķirts pievienotās vērtības nodokļa segšanai ne vairāk kā 104 861 </w:t>
            </w:r>
            <w:r w:rsidR="00000000" w:rsidRPr="00000000" w:rsidDel="00000000">
              <w:rPr>
                <w:i w:val="1"/>
                <w:rtl w:val="0"/>
              </w:rPr>
              <w:t xml:space="preserve">euro</w:t>
            </w:r>
            <w:r w:rsidR="00000000" w:rsidRPr="00000000" w:rsidDel="00000000">
              <w:rPr>
                <w:rtl w:val="0"/>
              </w:rPr>
              <w:t xml:space="preserve"> apmērā.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4.1.1.3.i. investīcijas "Atbalsts sekundāro ambulatoro pakalpojumu sniedzēju infrastruktūrai vai aprīkojumam" (turpmāk - 4.1.1.3.i. investīcija) ietvaros projektos ir apstiprināti 104 861,19 euro valsts budžeta finansējuma PVN segšanai, lūdzam precizēt noteikumu projekta 6. punktu, protokollēmuma projekta 3. punktu un anotāciju norādot, ka 4.1.1.3.i. investīcijā paliek 104 862 euro valsts budžeta finansējums PVN segšanai, un ka no 4.1.1.3.i. investīcijas tiek pārdalīts ietaupījums 4 178 euro valsts budžeta finansējums PVN segšana uz 4.1.1.2.i. investīciju "Atbalsts slimnīcu infrastruktūrai vai aprīkojumam".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 sadaļā "Mērķis" mērķa aprakstu, ņemot vērā, ka 2025. gada 28. augusta Eiropas Savienības fondu tematiskās komitejas sēdē vai Ministru kabineta (turpmāk – MK) 2025. gada 9. decembra sēdes protokollēmumā netika pieņemti lēmumi par papildu finansējuma pārdalēm SIA “Rīgas Austrumu klīniskā universitātes slimnīca” infekciju slimību un plaušu veselības korpusa būvniecībai, vai 4.1.1.3.i. investīcijas papildus atlikumu pārdalēm.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viennozīmīgu finansējuma pārdales pārskatāmību, lūdzam anotācijā precizēt, ka, projekta finansējuma atlikums tiek pārvirzīts investīcijas 4.1.1.2.i. "Atbalsts slimnīcu infrastruktūrai vai aprīkojumam" 3. kārtas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Geidāne (CFLA)</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projekti, kurus īsteno par Atveseļošanās fonda finansējumu, ir jāīsteno un maksājumu izmaksa no Centrālās finanšu un līgumu aģentūras jāveic līdz 2026. gada 31. decembrim. Lai gan investīcijas 4.1.1.2.i. "Atbalsts slimnīcu infrastruktūrai vai aprīkojumam" 3. kārtas īstenošana neietekmē Atveseļošanās fonda rādītāju sasniegšanu, lūdzam precizēt sadaļu "Problēmas apraksts", norādot, ka investīcijas 4.1.1.2.i. 3. kārtas projekta īstenošana jāveic saskaņā ar MK noteikumu Nr. 254 49.2. apakšpunktā noteikto, savukārt finansējuma gala maksājuma veikšanas termiņš no Centrālās finanšu un līgumu aģentūras ir 2026. gada 31. decembris.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Geidāne (CFLA)</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2023. gada 20. jūnija noteikumu Nr. 325 "Eiropas Savienības Atveseļošanas un noturības mehānisma plāna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īstenošanas noteikumi" (turpmāk - noteikumi Nr. 325) pielikuma 20. punktā minētā finansējuma saņēmēja - sabiedrības ar ierobežotu atbildību "Jūrmalas slimnīca" - īstenotajam projektam ar šiem grozījumiem finansējuma apmērs tiek palielināts, nevis samazināts, lūdzam papildināt anotāciju ar atbilstošu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saglabāt noteikumu Nr. 325 pielikuma zemsvītras atsauci, pēc nepieciešamības to aktualizējot, tostarp ņemot vērā, ka pielikumā ietvertās tabulas 3. kolonnas 1. rindā "Investīcijai pieejamais Atveseļošanas fonda finansējums euro (bez PVN)*" ir ietverta norāde uz zemsvītras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vai, ņemot vērā plānotos grozījumus, tiks veikti grozījumi arī līgumos un vienošanās par investīciju projektu īstenošanu. Lūdzam atbilstoši papildināt arī anotācijas 2.1. sadaļas apakšsadaļu "Juridiskās personas" un atbilstošo apakšsadaļu "Ietekmes apraksts", kā arī nepieciešamības gadījumā 7.1.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anotācijas 1.3. sadaļas apakšsadaļā "Problēmas apraksts" pirmajā rindkopā vārdus "nepieciešams pārvirzīt" ar vārdiem "Veselības ministrija piedāvā novirzīt".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sadaļas apakšsadaļas "Problēmas apraksts" otro rindkopu ar informāciju, kādiem mērķiem projektā Nr. 4.1.1.2.i.0/3/26/I/CFLA/001 “SIA “Rīgas Austrumu klīniskā universitātes slimnīca” infekciju slimību un plaušu veselības korpusa būvniecība (2.posms)” tiks novirzīti pārdalāmie AF finansējuma atlikumi, un skaidrot vai projekts pēc papildu finansējuma pārdalēm spēs iekļauties termiņā, t.i. līdz 2026.gada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Aizpildāms anotācijas 3.sadaļas “Tiesību akta projekta ietekme uz valsts budžetu un pašvaldību budžetiem” 5.1.apakšpunkts, ņemot vērā 5.punktā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Grudinska (FM)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1.3. sadaļas  apakšsadaļā “Problēmas apraksts” norādīto, ka paralēli šo MK 2023. gada 20. jūnija noteikumu Nr. 325 grozījumiem tiek virzīti grozījumi MK 2022. gada 19. aprīļa noteikumos Nr. 254, lūdzam atbilstoši aizpildīt anotācijas 4.sadaļu “Tiesību akta projekta ietekme uz spēkā esošo tiesību normu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Grudinska (FM)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pielikuma nosaukumu atbilstoši noteikumu projekta 1.punktā norādītajam nosaukumam.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Grudinska (FM)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pielikumu, jo, saskaitot norādītos AF finansējuma apmērus finansējuma saņēmējiem, veidojas kopējais finansējuma apmērs 7 682 020 </w:t>
            </w:r>
            <w:r w:rsidR="00000000" w:rsidRPr="00000000" w:rsidDel="00000000">
              <w:rPr>
                <w:i w:val="1"/>
                <w:rtl w:val="0"/>
              </w:rPr>
              <w:t xml:space="preserve">euro </w:t>
            </w:r>
            <w:r w:rsidR="00000000" w:rsidRPr="00000000" w:rsidDel="00000000">
              <w:rPr>
                <w:rtl w:val="0"/>
              </w:rPr>
              <w:t xml:space="preserve">apmērā, nevis 7 681 420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Grudinska (FM)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ka Eiropas Savienības Atveseļošanas un noturības mehānisma 4.1.1.3.i. investīcijas  "Atbalsts sekundāro ambulatoro pakalpojumu sniedzēju infrastruktūrai vai aprīkojumam" ietvaros ietaupītais Atveseļošanas un noturības mehānisma finansējums 40 960 euro apmērā un nacionālais valsts budžeta finansējums PVN segšanai ne vairāk kā 4 179 euro apmērā tiek novirzīts 4.1.1.2.i. investīcijas "Atbalsts slimnīcu infrastruktūrai vai aprīkojumam" SIA "Rīgas Austrumu klīniskā universitātes slimnīca" projekta “SIA “Rīgas Austrumu klīniskā universitātes slimnīca” infekciju slimību un plaušu veselības korpusa būvniecība (2.posms)” īstenošanai līdz 2026.gada 31.decembrim.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MK sēdes protokollēmuma projekta 3. punktu, ņemot vērā, ka minētais izriet no paralēli virzītā noteikumu projekta "Grozījumi Ministru kabineta 2022. gada 19. aprīļa noteikumos Nr. 254 "Noteikumi par Eiropas Savienības Atveseļošanas un noturības mehānisma plāna investīciju 4.1.1.2.i. "Atbalsts slimnīcu infrastruktūrai vai aprīkojumam""" (26-TA-702), tostarp attiecīgā MK sēdes protokollēmuma projekta 8.2. 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Investīcijas ietvaros veiktās projekta darbības tieši vērstas uz Atveseļošanas fonda plāna 4.1.1.r. reformas "Uz cilvēku centrētas, visaptverošas, integrētas veselības aprūpes sistēmas ilgtspēja un noturība" (turpmāk – reforma) īstenošanu. Investīcija īstenojama sasaistē ar reformas atskaites punktu "Uz cilvēku centrētas, visaptverošas, integrētas veselības aprūpes sniegšanas modeļa attīstība, veicot investīciju stratēģijas izstrādi un izstrādājot rekomendācijas integrētas un epidemioloģiski drošas veselības aprūpes attīstībai".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1.3. sadaļas apakšsadaļā "Problēmas apraksts" sniegto informāciju, ka </w:t>
            </w:r>
            <w:r w:rsidR="00000000" w:rsidRPr="00000000" w:rsidDel="00000000">
              <w:rPr>
                <w:i w:val="1"/>
                <w:rtl w:val="0"/>
              </w:rPr>
              <w:t xml:space="preserve">4.1.1.3.i. investīcija neietilpst zem 4.1.1.r. reformas</w:t>
            </w:r>
            <w:r w:rsidR="00000000" w:rsidRPr="00000000" w:rsidDel="00000000">
              <w:rPr>
                <w:rtl w:val="0"/>
              </w:rPr>
              <w:t xml:space="preserve">, lūdzam precizēt noteikumu Nr. 325 7. punktu un 1.2.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 finansējuma saņēmējs neatbilst Eiropas Parlamenta un Padomes 2018. gada 18. jūlija Regulas (ES, Euratom) </w:t>
            </w:r>
            <w:r w:rsidR="00000000" w:rsidRPr="00000000" w:rsidDel="00000000">
              <w:rPr>
                <w:rtl w:val="0"/>
              </w:rPr>
              <w:t xml:space="preserve">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rsidR="00000000" w:rsidRPr="00000000" w:rsidDel="00000000">
              <w:rPr>
                <w:rtl w:val="0"/>
              </w:rPr>
              <w:t xml:space="preserve">, 136. pantā ("Izslēgšanas kritēriji un lēmumi par izslēgšanu") noteiktajiem izslēgšanas kritērijiem;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2024. gada 30. septembrī stājusies spēkā jaunā “Finanšu regula” – Eiropas Parlamenta un Padomes 2024. gada 23. septembra Regula (ES, Euratom) 2024/2509 par finanšu noteikumiem, ko piemēro Savienības vispārējam budžetam (pārstrādāta redakcija) (turpmāk - Regula 2024/2509), un saskaņā ar Regulas 2024/2509 279. pantu tā atceļ iepriekšējo “Finanšu regulu” – Eiropas Parlamenta un Padomes 2018. gada 18. jūlija Regulu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2018/1046).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izvērtēt nepieciešamību precizēt noteikumu Nr. 325 11.7. apakšpunktā regulas atsauci, norādot atsauci uz Regulu 2024/2509. Saskaņā ar Regulas 2024/2509 279. pantu atsauces uz atcelto Regulu 2018/1046 uzskata par atsaucēm uz Regulu 2024/2509, un tās lasa saskaņā ar atbilstības tabulu Regulas 2024/2509 II pielikumā. Izrietoši aicinām atbilstoši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 finansējuma saņēmējs neatbilst Eiropas Parlamenta un Padomes 2024. gada 23. septembra Regulas (ES, Euratom) 2024/2509 par finanšu noteikumiem, ko piemēro Savienības vispārējam budžetam (pārstrādāta redakcija), 138. pantā ("Izslēgšanas kritēriji un lēmumi par izslēgšanu") noteiktajiem izslēgšanas kritērijiem;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26-TA-698</w:t>
    </w:r>
    <w:r>
      <w:br/>
    </w:r>
    <w:r w:rsidR="00000000" w:rsidRPr="00000000" w:rsidDel="00000000">
      <w:rPr>
        <w:rtl w:val="0"/>
      </w:rPr>
      <w:t xml:space="preserve">Izdrukāts 02.04.2026. 16.08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26-TA-698</w:t>
    </w:r>
    <w:r>
      <w:br/>
    </w:r>
    <w:r w:rsidR="00000000" w:rsidRPr="00000000" w:rsidDel="00000000">
      <w:rPr>
        <w:rtl w:val="0"/>
      </w:rPr>
      <w:t xml:space="preserve">Izdrukāts 02.04.2026. 16.08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Atzinumi_26-TA-698.docx</dc:title>
</cp:coreProperties>
</file>

<file path=docProps/custom.xml><?xml version="1.0" encoding="utf-8"?>
<Properties xmlns="http://schemas.openxmlformats.org/officeDocument/2006/custom-properties" xmlns:vt="http://schemas.openxmlformats.org/officeDocument/2006/docPropsVTypes"/>
</file>