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Publiskas personas mantas atsavināšanas likuma 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panta pirmo daļu valsts kustamo mantu var nodot bez atlīdzības </w:t>
            </w:r>
            <w:r w:rsidR="00000000" w:rsidRPr="00000000" w:rsidDel="00000000">
              <w:rPr>
                <w:u w:val="single"/>
                <w:rtl w:val="0"/>
              </w:rPr>
              <w:t xml:space="preserve">ārvalstu valdību </w:t>
            </w:r>
            <w:r w:rsidR="00000000" w:rsidRPr="00000000" w:rsidDel="00000000">
              <w:rPr>
                <w:rtl w:val="0"/>
              </w:rPr>
              <w:t xml:space="preserve">un starpvalstu organizāciju </w:t>
            </w:r>
            <w:r w:rsidR="00000000" w:rsidRPr="00000000" w:rsidDel="00000000">
              <w:rPr>
                <w:u w:val="single"/>
                <w:rtl w:val="0"/>
              </w:rPr>
              <w:t xml:space="preserve">īpašumā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iespēju papildināt Ministru kabineta rīkojuma projekta sākotnējās ietekmes (ex-ante) novērtējuma ziņojumu (anotācija), izvērtējot un norādot, ka, nododot Ministru kabineta rīkojuma projektā noteikto kustamo mantu Čerņihivas Reģionālajai bērnu slimnīcai, tā tiek nodota Ukrainas valdības īpašumā.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24-TA-1312</w:t>
    </w:r>
    <w:r>
      <w:br/>
    </w:r>
    <w:r w:rsidR="00000000" w:rsidRPr="00000000" w:rsidDel="00000000">
      <w:rPr>
        <w:rtl w:val="0"/>
      </w:rPr>
      <w:t xml:space="preserve">Izdrukāts 03.06.2024.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24-TA-1312</w:t>
    </w:r>
    <w:r>
      <w:br/>
    </w:r>
    <w:r w:rsidR="00000000" w:rsidRPr="00000000" w:rsidDel="00000000">
      <w:rPr>
        <w:rtl w:val="0"/>
      </w:rPr>
      <w:t xml:space="preserve">Izdrukāts 03.06.2024.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