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kuras deklarētā dzīvesvieta nav Latvijā, ceļu satiksmē Latvijā ar ārvalstī, kas nav Eiropas Savienības vai Eiropas Ekonomiskās zonas dalībvalsts vai Šveice, reģistrētu transportlīdzekli atļauts piedalīties, ja veikta tā deklarēšana transportlīdzekļa izmantošanai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izmantošanas deklarēšanu veic,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Deklarējot transportlīdzekļa izmantošanu ceļu satiksmē Latvijā,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īpašnieka/turētāja vārds un uzvārds, juridiskai personai nosaukums un reģistrācijas numurs, un kontaktinformācija (elektroniskā pasta adrese vai korespondences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laika posms, kurā transportlīdzeklis tiks izmantots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reģistrācijas dokumenta attēls, kurā redzama informācija par transportlīdzekļa marku, modeli, reģistrācijas valsti, transportlīdzekļa valsts reģistrācijas numuru un transportlīdzekļa īpašnieku/turētāju.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īpašniekam/turētājam, paziņojumus, administratīvos aktus un citus dokumentus paziņo uz oficiālās elektroniskās adreses kontu. Ja personai nav aktivizēts oficiālās elektroniskās adreses konts, paziņojumus, administratīvos aktus un citus dokumentus nosūta uz Ceļu satiksmes drošības direkcijas nodrošināto e-pakalpojumu sistēmā norādīto elektroniskā pasta adresi vai korespondences adresi Latvijā, ja nav norādīta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w:t>
            </w:r>
            <w:r w:rsidR="00000000" w:rsidRPr="00000000" w:rsidDel="00000000">
              <w:rPr>
                <w:vertAlign w:val="superscript"/>
                <w:rtl w:val="0"/>
              </w:rPr>
              <w:t xml:space="preserve">2</w:t>
            </w:r>
            <w:r w:rsidR="00000000" w:rsidRPr="00000000" w:rsidDel="00000000">
              <w:rPr>
                <w:rtl w:val="0"/>
              </w:rPr>
              <w:t xml:space="preserve">. daļā noteikto pienākumu reģistrēt šādu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ārvalstī, kas nav Eiropas Savienības vai Eiropas Ekonomiskās zonas dalībvalsts vai Šveice, reģistrētu transportlīdzekļu izmantošanas ceļu satiksmē Latvijā deklarēšanu, Ceļu satiksmes drošības direkcija Transportlīdzekļu un to vadītāju valsts reģistrā uzkrāj un apstrādā datus, kas nepieciešami transportlīdzekļu izmantošanas ceļu satiksmē Latvijā deklarēšanai šajā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Aicinām redakcionāli precizēt projekta 1. pantu: konkretizēt personām paredzētos pienākumus, paredzēt tam atbilstošus datu veidus un apjomu, izvērtēt paziņošanas regulējuma piemērotību un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priekšlikuma skaidrojums ir ietverts gan Tieslietu ministrijas 2024. gada 21. marta atzinumā, gan arī citos Tieslietu ministrijas atzinumos. Tā kā izziņā nav norādīti argumenti, kāpēc Tieslietu ministrijas un arī Iekšlietu ministrijas priekšlikumi nav ņemti vērā, nav iespējams priekšlikumus precizēt vai izvērtēt to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Ceļa pārvaldītājs var pārvietot piespiedu kārtā transportlīdzekli no ātrgaitas ceļa šī panta pirmās daļas 4.punkta i) apakšpunktā minētajā gadījumā, pirms transportlīdzekļa piespiedu pārvietošanas, savācot datus par pārkāpumu un nosūtot tos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anotācijā ietvert skaidrojumu, ka ceļa pārvaldītājs šajā gadījumā neveic administratīvā pārkāpuma procesu, bet tikai fiksē ziņas par iespējamu pārkāpumu un nosūta tās iestādei, kuras amatpersonas ir tiesīgas veikt administratīvā pārkāpuma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Par tāda transportlīdzekļa izmantošanu ceļu satiksmē, kurš nav reģistrēts noteiktajā kārtībā, piemēro naudas sodu elektroskrejriteņa vadītājam no sešām līdz četrpadsmit naudas soda vienībām, bet cita transportlīdzekļa vadītājam - no vienpadsmit līdz divdesmit astoņām naudas soda vienībām.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Aicinām izvērtēt iespēju precizēt projekta 9. pantā izmantotā grozījuma veidu vai šajā pantā ietvertā pārkāpuma pazīmes. Tāpat aicinām pievērst uzmanību prasībai reģistrēt velorikšas un kompetences administratīvā pārkāpuma procesā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9. pantā ietvertie grozījumi paredz vien naudas soda apmēru elektroskrejriteņa vadītājam. Līdz ar to pastāv iespēja papildināt Ceļu satiksmes likuma 72. panta pirmo daļu ar attiecīgajiem vārdiem, nevis izteikt šo daļu jaunā redakcijā. Tādējādi grozījumi būtu precīzāki un vieglāk uztverama grozījumu būtība.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tomēr Ceļu satiksmes likuma 72. panta pirmo daļu izteic jaunā redakcijā, tad apsverama iespēja tajā neiekļaut vārdus "noteiktajā kārtībā". Šajā gadījumā reģistrācijas kārtības ievērošanai nav juridiskas nozīmes, svarīgi ir tikai tas, vai transportlīdzeklis ir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Ceļu satiksmes likuma 10.</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 elektroskrejriteņu un velorikšu reģistrācija ir obligāta, un ceļu satiksmē atļauts piedalīties tikai ar reģistrētiem elektroskrejriteņiem un velorikšām. Tādējādi reģistrācijas prasība ir attiecināta ne tikai uz elektroskrejriteņiem, bet arī uz velorikšām. Ceļu satiksmes likuma 50. panta kontekstā jāievēro, ka velorikša ir velosipēda veids. Ievērojot minēto, aicinām izvērtēt tiesiskās sekas, ja persona piedalās satiksmē ar nereģistrētu velorikšu.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Ceļu satiksmes likuma 83. panta trešajā daļā ietverta pieeja, ka par pārkāpumiem, kurus izdarījis velosipēda vai elektroskrejriteņa vadītājs, administratīvā pārkāpuma procesu veic arī pašvaldības policija. Tomēr minētais regulējums neattiecas uz Ceļu satiksmes likuma 72. panta pirmajā daļā minēto pārkāpumu. Aicinām izvērtēt nepieciešamību paplašināt pašvaldības policijas amatpersonu kompetenci, ietverot arī projekta 9. pantā paredzēto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"72</w:t>
            </w:r>
            <w:r w:rsidR="00000000" w:rsidRPr="00000000" w:rsidDel="00000000">
              <w:rPr>
                <w:vertAlign w:val="superscript"/>
                <w:rtl w:val="0"/>
              </w:rPr>
              <w:t xml:space="preserve">1</w:t>
            </w:r>
            <w:r w:rsidR="00000000" w:rsidRPr="00000000" w:rsidDel="00000000">
              <w:rPr>
                <w:rtl w:val="0"/>
              </w:rPr>
              <w:t xml:space="preserve">. pants. Ārvalstī, kas nav Eiropas Savienības vai Eiropas Ekonomiskās zonas dalībvalsts vai Šveice, reģistrēta transportlīdzekļa neatļauta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ārvalstī, kas nav Eiropas Savienības vai Eiropas Ekonomiskās zonas dalībvalsts vai Šveice, reģistrēta transportlīdzekļa izmantošanu ceļu satiksmē, kurš nav deklarēts, piemēro naudas sodu transportlīdzekļa vadītājam no vienpadsmit līdz divdesmit astoņām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10. pantā ietvertā pārkāpuma redakciju un sākt paredzētā Ceļu satiksmes likuma 72.</w:t>
            </w:r>
            <w:r w:rsidR="00000000" w:rsidRPr="00000000" w:rsidDel="00000000">
              <w:rPr>
                <w:vertAlign w:val="superscript"/>
                <w:rtl w:val="0"/>
              </w:rPr>
              <w:t xml:space="preserve">1</w:t>
            </w:r>
            <w:r w:rsidR="00000000" w:rsidRPr="00000000" w:rsidDel="00000000">
              <w:rPr>
                <w:rtl w:val="0"/>
              </w:rPr>
              <w:t xml:space="preserve"> panta tekstu ar vārdiem "Par tāda ārvalstī [..]" (līdzīgi kā šā likuma 72. panta pirmo un 1.</w:t>
            </w:r>
            <w:r w:rsidR="00000000" w:rsidRPr="00000000" w:rsidDel="00000000">
              <w:rPr>
                <w:vertAlign w:val="superscript"/>
                <w:rtl w:val="0"/>
              </w:rPr>
              <w:t xml:space="preserve">1</w:t>
            </w:r>
            <w:r w:rsidR="00000000" w:rsidRPr="00000000" w:rsidDel="00000000">
              <w:rPr>
                <w:rtl w:val="0"/>
              </w:rPr>
              <w:t xml:space="preserve"> daļu). Savukārt projekta anotācija papildināma ar administratīvās atbildības kritēriju izvērtējumu, soda veida un apmēra izvēles pamatojumu, kā arī kompetences administratīvā pārkāpuma procesā regulējuma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4.1.2. apakšpunktā ietverams nepieciešamo grozījumu Administratīvās atbildības likumā 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7. sadaļā ietverams administratīvās atbildības regulējuma ietekmes uz pārvaldes uzdevumiem izvērtējums. Tā kā projektā tiek paredzēti jauni administratīvie pārkāpumi, tostarp paplašināts administratīvās atbildības subjektu loks, tas ietekmē vismaz pārvaldes uzdevumu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projekta anotācijas 7.5. apakšpunktā ietverto informāciju ar projekta pašreizējo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18.04.2024.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18.04.2024.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